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52599" w14:textId="77777777" w:rsidR="0027369B" w:rsidRDefault="0027369B" w:rsidP="001F7306">
      <w:pPr>
        <w:pStyle w:val="SOPLevel1"/>
      </w:pPr>
      <w:r>
        <w:t>PURPOSE</w:t>
      </w:r>
    </w:p>
    <w:p w14:paraId="74D5259A" w14:textId="2C3B368B" w:rsidR="004C046E" w:rsidRPr="004C046E" w:rsidRDefault="001D2C16" w:rsidP="001F7306">
      <w:pPr>
        <w:pStyle w:val="SOPLevel2"/>
      </w:pPr>
      <w:r>
        <w:t>This</w:t>
      </w:r>
      <w:r w:rsidR="004C046E" w:rsidRPr="004C046E">
        <w:t xml:space="preserve"> </w:t>
      </w:r>
      <w:r w:rsidR="004B06CA">
        <w:t xml:space="preserve">procedure </w:t>
      </w:r>
      <w:r w:rsidR="004C046E" w:rsidRPr="004C046E">
        <w:t>establish</w:t>
      </w:r>
      <w:r w:rsidR="004B06CA">
        <w:t>es</w:t>
      </w:r>
      <w:r w:rsidR="004C046E" w:rsidRPr="004C046E">
        <w:t xml:space="preserve"> </w:t>
      </w:r>
      <w:r w:rsidR="008C5C39">
        <w:t>the</w:t>
      </w:r>
      <w:r w:rsidR="004C046E" w:rsidRPr="004C046E">
        <w:t xml:space="preserve"> process </w:t>
      </w:r>
      <w:r w:rsidR="005418FD">
        <w:t>for</w:t>
      </w:r>
      <w:r w:rsidR="004C046E" w:rsidRPr="004C046E">
        <w:t xml:space="preserve"> </w:t>
      </w:r>
      <w:r w:rsidR="00916E2D">
        <w:t>communicat</w:t>
      </w:r>
      <w:r w:rsidR="005418FD">
        <w:t>ion after a protocol is reviewed</w:t>
      </w:r>
      <w:r w:rsidR="00916E2D">
        <w:t xml:space="preserve"> </w:t>
      </w:r>
    </w:p>
    <w:p w14:paraId="04487CEB" w14:textId="77777777" w:rsidR="005418FD" w:rsidRDefault="004C046E" w:rsidP="001F7306">
      <w:pPr>
        <w:pStyle w:val="SOPLevel2"/>
      </w:pPr>
      <w:r w:rsidRPr="004C046E">
        <w:t>This procedure begins when</w:t>
      </w:r>
      <w:r w:rsidR="005418FD">
        <w:t>:</w:t>
      </w:r>
    </w:p>
    <w:p w14:paraId="13B9EA15" w14:textId="5B95CD41" w:rsidR="005418FD" w:rsidRDefault="005418FD" w:rsidP="005418FD">
      <w:pPr>
        <w:pStyle w:val="SOPLevel3"/>
      </w:pPr>
      <w:r>
        <w:t>A Designated Reviewer has completed a Non-Committee Review, or</w:t>
      </w:r>
    </w:p>
    <w:p w14:paraId="738B96B2" w14:textId="24E80768" w:rsidR="005418FD" w:rsidRDefault="005418FD" w:rsidP="005418FD">
      <w:pPr>
        <w:pStyle w:val="SOPLevel3"/>
      </w:pPr>
      <w:r>
        <w:t>An IRB meeting was adjourned, or</w:t>
      </w:r>
    </w:p>
    <w:p w14:paraId="74D5259B" w14:textId="70642B87" w:rsidR="004C046E" w:rsidRPr="004C046E" w:rsidRDefault="005418FD" w:rsidP="005418FD">
      <w:pPr>
        <w:pStyle w:val="SOPLevel3"/>
      </w:pPr>
      <w:r>
        <w:t>An IRB Office staff member has verified that stipulations required to secure approval have been made</w:t>
      </w:r>
      <w:r w:rsidR="004C046E" w:rsidRPr="004C046E">
        <w:t xml:space="preserve"> </w:t>
      </w:r>
      <w:r w:rsidR="00FA76FB">
        <w:t>the IRB</w:t>
      </w:r>
      <w:r w:rsidR="00916E2D">
        <w:t xml:space="preserve"> has completed a review</w:t>
      </w:r>
      <w:r w:rsidR="004C046E" w:rsidRPr="004C046E">
        <w:t>.</w:t>
      </w:r>
    </w:p>
    <w:p w14:paraId="74D5259C" w14:textId="7A8938CD" w:rsidR="004C046E" w:rsidRPr="004C046E" w:rsidRDefault="004C046E" w:rsidP="001F7306">
      <w:pPr>
        <w:pStyle w:val="SOPLevel2"/>
      </w:pPr>
      <w:r w:rsidRPr="004C046E">
        <w:t xml:space="preserve">This procedure ends when </w:t>
      </w:r>
      <w:r w:rsidR="00A92D2C">
        <w:t>all correspondence related to IRB determinations and correspondences have been sent to the PI and study team.</w:t>
      </w:r>
    </w:p>
    <w:p w14:paraId="49D5EED0" w14:textId="77777777" w:rsidR="00A92D2C" w:rsidRDefault="0027369B" w:rsidP="00A92D2C">
      <w:pPr>
        <w:pStyle w:val="SOPLevel1"/>
      </w:pPr>
      <w:r>
        <w:t>POLICY</w:t>
      </w:r>
    </w:p>
    <w:p w14:paraId="34535565" w14:textId="0F9B0033" w:rsidR="00A92D2C" w:rsidRDefault="00A92D2C" w:rsidP="00A92D2C">
      <w:pPr>
        <w:pStyle w:val="SOPLevel2"/>
      </w:pPr>
      <w:r>
        <w:t>The IRB informs the investigator of findings and actions</w:t>
      </w:r>
    </w:p>
    <w:p w14:paraId="282C2DED" w14:textId="77777777" w:rsidR="00A92D2C" w:rsidRDefault="00A92D2C" w:rsidP="00A92D2C">
      <w:pPr>
        <w:pStyle w:val="SOPLevel2"/>
      </w:pPr>
      <w:r>
        <w:t xml:space="preserve">When the Board tables or disapproves research, correspondence to the investigator will include the reasons of the decisions. </w:t>
      </w:r>
    </w:p>
    <w:p w14:paraId="641FC6FF" w14:textId="77777777" w:rsidR="00A92D2C" w:rsidRDefault="00A92D2C" w:rsidP="00A92D2C">
      <w:pPr>
        <w:pStyle w:val="SOPLevel3"/>
      </w:pPr>
      <w:r>
        <w:t xml:space="preserve">If a submission is tabled, the investigator will have the ability to submit a response for review. </w:t>
      </w:r>
    </w:p>
    <w:p w14:paraId="68B2A20D" w14:textId="526E14C6" w:rsidR="00A92D2C" w:rsidRDefault="00A92D2C" w:rsidP="00A92D2C">
      <w:pPr>
        <w:pStyle w:val="SOPLevel3"/>
      </w:pPr>
      <w:r>
        <w:t xml:space="preserve">If the submission was disapproved, the investigator may submit a new study with the required changes and recommendations </w:t>
      </w:r>
    </w:p>
    <w:p w14:paraId="444E4482" w14:textId="77777777" w:rsidR="00A92D2C" w:rsidRDefault="00A92D2C" w:rsidP="00A92D2C">
      <w:pPr>
        <w:pStyle w:val="SOPLevel2"/>
      </w:pPr>
      <w:r>
        <w:t xml:space="preserve">If the IRB votes to disapprove, suspend, or terminate a research protocol, it will include in its written notification a statement of the reasons for its decision. A principal investigator may appeal this decision by writing a letter to the IRB requesting reconsideration. </w:t>
      </w:r>
    </w:p>
    <w:p w14:paraId="62DF522A" w14:textId="77777777" w:rsidR="00A92D2C" w:rsidRDefault="00A92D2C" w:rsidP="00A92D2C">
      <w:pPr>
        <w:pStyle w:val="SOPLevel2"/>
      </w:pPr>
      <w:r>
        <w:t xml:space="preserve">When applicable, </w:t>
      </w:r>
      <w:proofErr w:type="gramStart"/>
      <w:r>
        <w:t>serious</w:t>
      </w:r>
      <w:proofErr w:type="gramEnd"/>
      <w:r>
        <w:t xml:space="preserve"> or continuing non-compliance, suspension, and unanticipated problems will be promptly reported to outside agencies. </w:t>
      </w:r>
    </w:p>
    <w:p w14:paraId="74D525B0" w14:textId="71BC60ED" w:rsidR="0027369B" w:rsidRDefault="0027369B" w:rsidP="00A92D2C">
      <w:pPr>
        <w:pStyle w:val="SOPLevel1"/>
      </w:pPr>
      <w:r>
        <w:t>RESPONSIBILITY</w:t>
      </w:r>
    </w:p>
    <w:p w14:paraId="74D525B1" w14:textId="612137CF" w:rsidR="00FA76FB" w:rsidRPr="00FA76FB" w:rsidRDefault="005C5F0F" w:rsidP="001F7306">
      <w:pPr>
        <w:pStyle w:val="SOPLevel2"/>
      </w:pPr>
      <w:r>
        <w:t>HRPP staff</w:t>
      </w:r>
      <w:r w:rsidR="00FA76FB" w:rsidRPr="00FA76FB">
        <w:t xml:space="preserve"> members carry out these procedures</w:t>
      </w:r>
      <w:r w:rsidR="00A92D2C">
        <w:t>, with consultation from the Institutional Official, IRB Chair, Office of Integrity and Compliance, and General Counsel when applicable.</w:t>
      </w:r>
    </w:p>
    <w:p w14:paraId="74D525B2" w14:textId="77777777" w:rsidR="0027369B" w:rsidRDefault="0027369B" w:rsidP="001F7306">
      <w:pPr>
        <w:pStyle w:val="SOPLevel1"/>
      </w:pPr>
      <w:r>
        <w:t>PROCEDURE</w:t>
      </w:r>
    </w:p>
    <w:p w14:paraId="341A8F26" w14:textId="5C4F63AA" w:rsidR="00A92D2C" w:rsidRDefault="00A92D2C" w:rsidP="001F7306">
      <w:pPr>
        <w:pStyle w:val="SOPLevel2"/>
      </w:pPr>
      <w:r>
        <w:t xml:space="preserve">Upon approval of a new study or continuing review, document the approval period </w:t>
      </w:r>
    </w:p>
    <w:p w14:paraId="59D93997" w14:textId="77777777" w:rsidR="00A92D2C" w:rsidRDefault="00A92D2C" w:rsidP="001F7306">
      <w:pPr>
        <w:pStyle w:val="SOPLevel2"/>
      </w:pPr>
      <w:r>
        <w:t xml:space="preserve">Finalize any newly approved consent documents and all other applicable submitted materials with the approval and expiration dates. </w:t>
      </w:r>
    </w:p>
    <w:p w14:paraId="6AFD6296" w14:textId="6C264BF2" w:rsidR="0035050F" w:rsidRDefault="00A92D2C" w:rsidP="001F7306">
      <w:pPr>
        <w:pStyle w:val="SOPLevel2"/>
      </w:pPr>
      <w:r>
        <w:t>Approved</w:t>
      </w:r>
      <w:r w:rsidR="0035050F">
        <w:t xml:space="preserve"> and</w:t>
      </w:r>
      <w:r>
        <w:t xml:space="preserve"> Approved with </w:t>
      </w:r>
      <w:r w:rsidR="0035050F">
        <w:t>Stipulations</w:t>
      </w:r>
      <w:r>
        <w:t xml:space="preserve">, correspondence should be completed within 5 business days of the review. </w:t>
      </w:r>
    </w:p>
    <w:p w14:paraId="68F49F1E" w14:textId="26C45709" w:rsidR="0035050F" w:rsidRDefault="00A92D2C" w:rsidP="001F7306">
      <w:pPr>
        <w:pStyle w:val="SOPLevel2"/>
      </w:pPr>
      <w:r>
        <w:t>Tabled</w:t>
      </w:r>
      <w:r w:rsidR="00E36AFA">
        <w:t xml:space="preserve"> or Deferred</w:t>
      </w:r>
      <w:r>
        <w:t xml:space="preserve"> correspondence should be completed within 2 business days after the convened meeting. </w:t>
      </w:r>
    </w:p>
    <w:p w14:paraId="7D4C3327" w14:textId="15BC0410" w:rsidR="0035050F" w:rsidRDefault="00A92D2C" w:rsidP="001F7306">
      <w:pPr>
        <w:pStyle w:val="SOPLevel2"/>
      </w:pPr>
      <w:r>
        <w:t xml:space="preserve">Suspension correspondence should be completed within 1 business day of the motion. </w:t>
      </w:r>
    </w:p>
    <w:p w14:paraId="0CE03C1D" w14:textId="0AD3E02F" w:rsidR="00A92D2C" w:rsidRDefault="00A92D2C" w:rsidP="001F7306">
      <w:pPr>
        <w:pStyle w:val="SOPLevel2"/>
      </w:pPr>
      <w:r>
        <w:t>Correspondence to the study staff will be sent to:</w:t>
      </w:r>
    </w:p>
    <w:p w14:paraId="0E407A9E" w14:textId="77777777" w:rsidR="00A92D2C" w:rsidRDefault="00A92D2C" w:rsidP="00A92D2C">
      <w:pPr>
        <w:pStyle w:val="SOPLevel3"/>
      </w:pPr>
      <w:r>
        <w:t xml:space="preserve">The Principal Investigator </w:t>
      </w:r>
    </w:p>
    <w:p w14:paraId="5A390642" w14:textId="77777777" w:rsidR="00A92D2C" w:rsidRDefault="00A92D2C" w:rsidP="00A92D2C">
      <w:pPr>
        <w:pStyle w:val="SOPLevel3"/>
      </w:pPr>
      <w:r>
        <w:t xml:space="preserve">Study Coordinator or study contact </w:t>
      </w:r>
    </w:p>
    <w:p w14:paraId="3ED9E2EC" w14:textId="77777777" w:rsidR="000B0D54" w:rsidRDefault="00A92D2C" w:rsidP="00A92D2C">
      <w:pPr>
        <w:pStyle w:val="SOPLevel3"/>
      </w:pPr>
      <w:r>
        <w:t xml:space="preserve">Other individuals or organizations determined to be appropriate by the </w:t>
      </w:r>
      <w:r w:rsidR="000B0D54">
        <w:t xml:space="preserve">Human Protections Administrator and/or </w:t>
      </w:r>
      <w:r>
        <w:t>IRB Chair</w:t>
      </w:r>
      <w:r w:rsidR="000B0D54">
        <w:t>, including:</w:t>
      </w:r>
    </w:p>
    <w:p w14:paraId="01F26F0F" w14:textId="77777777" w:rsidR="000B0D54" w:rsidRDefault="000B0D54" w:rsidP="000B0D54">
      <w:pPr>
        <w:pStyle w:val="SOPLevel4"/>
      </w:pPr>
      <w:r>
        <w:t>Institutional Official</w:t>
      </w:r>
    </w:p>
    <w:p w14:paraId="0261EE24" w14:textId="61151C7A" w:rsidR="000B0D54" w:rsidRDefault="00A92D2C" w:rsidP="000B0D54">
      <w:pPr>
        <w:pStyle w:val="SOPLevel4"/>
      </w:pPr>
      <w:r>
        <w:t>General Counsel</w:t>
      </w:r>
    </w:p>
    <w:p w14:paraId="2F14115B" w14:textId="77777777" w:rsidR="00070CE3" w:rsidRDefault="00070CE3" w:rsidP="00070CE3">
      <w:pPr>
        <w:pStyle w:val="SOPLevel4"/>
      </w:pPr>
      <w:r>
        <w:t>Research and Development</w:t>
      </w:r>
    </w:p>
    <w:p w14:paraId="7054996B" w14:textId="1F3E2B69" w:rsidR="00A92D2C" w:rsidRDefault="00A92D2C" w:rsidP="00070CE3">
      <w:pPr>
        <w:pStyle w:val="SOPLevel4"/>
      </w:pPr>
      <w:r>
        <w:t>Office of Integrity and Compliance</w:t>
      </w:r>
    </w:p>
    <w:p w14:paraId="56AA4E80" w14:textId="580A83B9" w:rsidR="00070CE3" w:rsidRDefault="00070CE3" w:rsidP="000B0D54">
      <w:pPr>
        <w:pStyle w:val="SOPLevel4"/>
      </w:pPr>
      <w:r>
        <w:t>Health Analytics Research Team</w:t>
      </w:r>
    </w:p>
    <w:p w14:paraId="4631E642" w14:textId="77777777" w:rsidR="00A92D2C" w:rsidRDefault="00A92D2C" w:rsidP="00A92D2C">
      <w:pPr>
        <w:pStyle w:val="SOPLevel2"/>
      </w:pPr>
      <w:r>
        <w:lastRenderedPageBreak/>
        <w:t xml:space="preserve">When researchers submit a response to an item that was not approved (e.g. Tabled), the response will be reviewed by the IRB: </w:t>
      </w:r>
    </w:p>
    <w:p w14:paraId="2996C97A" w14:textId="77777777" w:rsidR="00A92D2C" w:rsidRDefault="00A92D2C" w:rsidP="00A92D2C">
      <w:pPr>
        <w:pStyle w:val="SOPLevel3"/>
      </w:pPr>
      <w:r>
        <w:t xml:space="preserve">Tabled items will be reviewed by the convened IRB </w:t>
      </w:r>
    </w:p>
    <w:p w14:paraId="5E7D5071" w14:textId="3103B260" w:rsidR="00A92D2C" w:rsidRDefault="00A92D2C" w:rsidP="00A92D2C">
      <w:pPr>
        <w:pStyle w:val="SOPLevel2"/>
      </w:pPr>
      <w:r>
        <w:t>If an appeal to an IRB decision is received, at the discretion of the chair, the investigator may make such an appeal in person and/or in writing to the IRB. An appeal of a disapproved, suspended, or terminated research project must be reviewed at a full board meeting. After review and discussion of appeal materials and/or presentation by the researcher, the IRB will vote by simple majority whether to approve the appeal and allow the research to commence. If the IRB upholds its vote to disapprove, suspend, or terminate a project, the decision may not be appealed again</w:t>
      </w:r>
      <w:r w:rsidR="00DA2547">
        <w:t>,</w:t>
      </w:r>
      <w:r>
        <w:t xml:space="preserve"> </w:t>
      </w:r>
      <w:r w:rsidR="00DA2547">
        <w:t>n</w:t>
      </w:r>
      <w:r>
        <w:t xml:space="preserve">or may it be reversed by any administrator, other </w:t>
      </w:r>
      <w:proofErr w:type="gramStart"/>
      <w:r>
        <w:t>officer</w:t>
      </w:r>
      <w:proofErr w:type="gramEnd"/>
      <w:r>
        <w:t xml:space="preserve"> or agency </w:t>
      </w:r>
    </w:p>
    <w:p w14:paraId="56F69FBA" w14:textId="7038AFC0" w:rsidR="007E07BA" w:rsidRDefault="007E07BA" w:rsidP="007E07BA">
      <w:pPr>
        <w:pStyle w:val="SOPLevel2"/>
      </w:pPr>
      <w:r>
        <w:t>The following individuals or entities must receive notification when the notification involves &lt;Serious Noncompliance&gt;, &lt;Continuing Noncompliance&gt;, &lt;Suspension of IRB Approval&gt;, or &lt;Termination of IRB Approval&gt;:</w:t>
      </w:r>
    </w:p>
    <w:p w14:paraId="5E42B20D" w14:textId="77777777" w:rsidR="007E07BA" w:rsidRDefault="007E07BA" w:rsidP="007E07BA">
      <w:pPr>
        <w:pStyle w:val="SOPLevel3"/>
      </w:pPr>
      <w:r>
        <w:t>[Organizational Official]</w:t>
      </w:r>
    </w:p>
    <w:p w14:paraId="3FB58C5E" w14:textId="77777777" w:rsidR="007E07BA" w:rsidRPr="00D1206B" w:rsidRDefault="007E07BA" w:rsidP="007E07BA">
      <w:pPr>
        <w:pStyle w:val="SOPLevel3"/>
      </w:pPr>
      <w:r>
        <w:t>Research and Development</w:t>
      </w:r>
    </w:p>
    <w:p w14:paraId="32D6BE5A" w14:textId="77777777" w:rsidR="007E07BA" w:rsidRPr="00D1206B" w:rsidRDefault="007E07BA" w:rsidP="007E07BA">
      <w:pPr>
        <w:pStyle w:val="SOPLevel3"/>
      </w:pPr>
      <w:r w:rsidRPr="00D1206B">
        <w:t>Agency (E.g., DOD, EPA, FDA, HHS, VA), when the research is subject to regulation by that agency and the agency requires reporting</w:t>
      </w:r>
    </w:p>
    <w:p w14:paraId="7351521E" w14:textId="77777777" w:rsidR="007E07BA" w:rsidRPr="00D1206B" w:rsidRDefault="007E07BA" w:rsidP="007E07BA">
      <w:pPr>
        <w:pStyle w:val="SOPLevel3"/>
      </w:pPr>
      <w:r w:rsidRPr="00D1206B">
        <w:t>Additional contacts, as required by any relevant agreement</w:t>
      </w:r>
    </w:p>
    <w:p w14:paraId="11C8376C" w14:textId="77777777" w:rsidR="007E07BA" w:rsidRPr="00D1206B" w:rsidRDefault="007E07BA" w:rsidP="007E07BA">
      <w:pPr>
        <w:pStyle w:val="SOPLevel3"/>
      </w:pPr>
      <w:r w:rsidRPr="00D1206B">
        <w:t>The local research ethics committee or equivalent, when the research is international or collaborative research involving collaboration with a local research ethics committee or equivalent</w:t>
      </w:r>
    </w:p>
    <w:p w14:paraId="4902DAB6" w14:textId="77777777" w:rsidR="007E07BA" w:rsidRDefault="007E07BA" w:rsidP="007E07BA">
      <w:pPr>
        <w:pStyle w:val="SOPLevel3"/>
      </w:pPr>
      <w:r w:rsidRPr="00D1206B">
        <w:t xml:space="preserve">Other individuals or organizations determined to be appropriate by the </w:t>
      </w:r>
      <w:r>
        <w:t xml:space="preserve">Human Protections Administrator, IRB Chair, or Institutional Official such as: </w:t>
      </w:r>
    </w:p>
    <w:p w14:paraId="0D8D65F7" w14:textId="77777777" w:rsidR="007E07BA" w:rsidRDefault="007E07BA" w:rsidP="007E07BA">
      <w:pPr>
        <w:pStyle w:val="SOPLevel4"/>
      </w:pPr>
      <w:r>
        <w:t>General Counsel</w:t>
      </w:r>
    </w:p>
    <w:p w14:paraId="048D7326" w14:textId="77777777" w:rsidR="007E07BA" w:rsidRDefault="007E07BA" w:rsidP="007E07BA">
      <w:pPr>
        <w:pStyle w:val="SOPLevel4"/>
      </w:pPr>
      <w:r>
        <w:t>Office of Integrity and Compliance</w:t>
      </w:r>
    </w:p>
    <w:p w14:paraId="4187380B" w14:textId="77777777" w:rsidR="007E07BA" w:rsidRPr="00810580" w:rsidRDefault="007E07BA" w:rsidP="007E07BA">
      <w:pPr>
        <w:pStyle w:val="SOPLevel4"/>
      </w:pPr>
      <w:r w:rsidRPr="00810580">
        <w:t xml:space="preserve">Privacy </w:t>
      </w:r>
      <w:proofErr w:type="gramStart"/>
      <w:r w:rsidRPr="00810580">
        <w:t>Officer, when</w:t>
      </w:r>
      <w:proofErr w:type="gramEnd"/>
      <w:r w:rsidRPr="00810580">
        <w:t xml:space="preserve"> the information involves unauthorized use, loss, or disclosure of individually identifiable information </w:t>
      </w:r>
    </w:p>
    <w:p w14:paraId="7B7DE385" w14:textId="05C2E012" w:rsidR="007E07BA" w:rsidRDefault="007E07BA" w:rsidP="007E07BA">
      <w:pPr>
        <w:pStyle w:val="SOPLevel4"/>
      </w:pPr>
      <w:r w:rsidRPr="00810580">
        <w:t xml:space="preserve">Information Security </w:t>
      </w:r>
      <w:proofErr w:type="gramStart"/>
      <w:r w:rsidRPr="00810580">
        <w:t>Officer, when</w:t>
      </w:r>
      <w:proofErr w:type="gramEnd"/>
      <w:r w:rsidRPr="00810580">
        <w:t xml:space="preserve"> the information involves violations of information security requirements</w:t>
      </w:r>
    </w:p>
    <w:p w14:paraId="201AD74A" w14:textId="60DDE67D" w:rsidR="00881706" w:rsidRDefault="00881706" w:rsidP="007E07BA">
      <w:pPr>
        <w:pStyle w:val="SOPLevel4"/>
      </w:pPr>
      <w:r>
        <w:t>Department Chair of the PI, or their supervisor</w:t>
      </w:r>
    </w:p>
    <w:p w14:paraId="492CFF15" w14:textId="77777777" w:rsidR="007E07BA" w:rsidRDefault="007E07BA" w:rsidP="00881706">
      <w:pPr>
        <w:pStyle w:val="SOPLevel2"/>
        <w:numPr>
          <w:ilvl w:val="0"/>
          <w:numId w:val="0"/>
        </w:numPr>
        <w:ind w:left="1152"/>
      </w:pPr>
    </w:p>
    <w:p w14:paraId="44073375" w14:textId="753CF577" w:rsidR="00981C16" w:rsidRDefault="009012B9" w:rsidP="00087932">
      <w:pPr>
        <w:pStyle w:val="SOPLevel2"/>
      </w:pPr>
      <w:r>
        <w:t>T</w:t>
      </w:r>
      <w:r w:rsidR="00981C16">
        <w:t>he following individuals or entities must receive notification when the notification involves an &lt;Unanticipated Problems Involving Risks to Subjects or Others&gt;</w:t>
      </w:r>
      <w:r w:rsidR="00881706">
        <w:t>:</w:t>
      </w:r>
    </w:p>
    <w:p w14:paraId="1132A684" w14:textId="77777777" w:rsidR="00DA2547" w:rsidRDefault="00051806" w:rsidP="00DA2547">
      <w:pPr>
        <w:pStyle w:val="SOPLevel3"/>
      </w:pPr>
      <w:r>
        <w:t>[Organizational Official]</w:t>
      </w:r>
    </w:p>
    <w:p w14:paraId="2BE640BF" w14:textId="7F6EBE18" w:rsidR="00740CE2" w:rsidRPr="00D1206B" w:rsidRDefault="00740CE2" w:rsidP="00740CE2">
      <w:pPr>
        <w:pStyle w:val="SOPLevel3"/>
      </w:pPr>
      <w:r w:rsidRPr="00D1206B">
        <w:t>Agency (E.g., FDA, HHS, VA</w:t>
      </w:r>
      <w:r w:rsidR="00217241">
        <w:t xml:space="preserve">, </w:t>
      </w:r>
      <w:r w:rsidR="00217241" w:rsidRPr="00D1206B">
        <w:t>DOD, EPA</w:t>
      </w:r>
      <w:r w:rsidRPr="00D1206B">
        <w:t>), when the research is subject to regulation by that agency and the agency requires reporting</w:t>
      </w:r>
    </w:p>
    <w:p w14:paraId="3B4E9E1A" w14:textId="77777777" w:rsidR="00740CE2" w:rsidRPr="00D1206B" w:rsidRDefault="00740CE2" w:rsidP="00740CE2">
      <w:pPr>
        <w:pStyle w:val="SOPLevel3"/>
      </w:pPr>
      <w:r w:rsidRPr="00D1206B">
        <w:t>Additional contacts, as required by any relevant agreement</w:t>
      </w:r>
    </w:p>
    <w:p w14:paraId="5214268F" w14:textId="77777777" w:rsidR="00740CE2" w:rsidRPr="00D1206B" w:rsidRDefault="00740CE2" w:rsidP="00740CE2">
      <w:pPr>
        <w:pStyle w:val="SOPLevel3"/>
      </w:pPr>
      <w:r w:rsidRPr="00D1206B">
        <w:t>The local research ethics committee or equivalent, when the research is international or collaborative research involving collaboration with a local research ethics committee or equivalent</w:t>
      </w:r>
    </w:p>
    <w:p w14:paraId="6A1810FE" w14:textId="51341D4B" w:rsidR="00740CE2" w:rsidRDefault="00740CE2" w:rsidP="000B0D54">
      <w:pPr>
        <w:pStyle w:val="SOPLevel3"/>
      </w:pPr>
      <w:r w:rsidRPr="00D1206B">
        <w:t xml:space="preserve">Other individuals or organizations determined to be appropriate by the </w:t>
      </w:r>
      <w:r w:rsidR="000B0D54">
        <w:t xml:space="preserve">Human Protections Administrator, IRB Chair, or Institutional Official </w:t>
      </w:r>
      <w:r>
        <w:t xml:space="preserve">such as: </w:t>
      </w:r>
    </w:p>
    <w:p w14:paraId="64F18016" w14:textId="77777777" w:rsidR="000B0D54" w:rsidRDefault="000B0D54" w:rsidP="000B0D54">
      <w:pPr>
        <w:pStyle w:val="SOPLevel4"/>
      </w:pPr>
      <w:r>
        <w:t>General Counsel</w:t>
      </w:r>
    </w:p>
    <w:p w14:paraId="1FCBADB3" w14:textId="77777777" w:rsidR="000B0D54" w:rsidRDefault="000B0D54" w:rsidP="000B0D54">
      <w:pPr>
        <w:pStyle w:val="SOPLevel4"/>
      </w:pPr>
      <w:r>
        <w:t>Office of Integrity and Compliance</w:t>
      </w:r>
    </w:p>
    <w:p w14:paraId="674D0CBA" w14:textId="77777777" w:rsidR="00051806" w:rsidRPr="00810580" w:rsidRDefault="00051806" w:rsidP="00810580">
      <w:pPr>
        <w:pStyle w:val="SOPLevel4"/>
      </w:pPr>
      <w:r w:rsidRPr="00810580">
        <w:t xml:space="preserve">Privacy </w:t>
      </w:r>
      <w:proofErr w:type="gramStart"/>
      <w:r w:rsidRPr="00810580">
        <w:t>Officer, when</w:t>
      </w:r>
      <w:proofErr w:type="gramEnd"/>
      <w:r w:rsidRPr="00810580">
        <w:t xml:space="preserve"> the information involves unauthorized use, loss, or disclosure of individually identifiable information </w:t>
      </w:r>
    </w:p>
    <w:p w14:paraId="11EE1F4E" w14:textId="43F470A2" w:rsidR="00051806" w:rsidRDefault="00051806" w:rsidP="00810580">
      <w:pPr>
        <w:pStyle w:val="SOPLevel4"/>
      </w:pPr>
      <w:r w:rsidRPr="00810580">
        <w:t xml:space="preserve">Information Security </w:t>
      </w:r>
      <w:proofErr w:type="gramStart"/>
      <w:r w:rsidRPr="00810580">
        <w:t>Officer, when</w:t>
      </w:r>
      <w:proofErr w:type="gramEnd"/>
      <w:r w:rsidRPr="00810580">
        <w:t xml:space="preserve"> the information involves violations of information security requirements</w:t>
      </w:r>
    </w:p>
    <w:p w14:paraId="392D902B" w14:textId="77777777" w:rsidR="00A251F1" w:rsidRDefault="00A251F1" w:rsidP="00A251F1">
      <w:pPr>
        <w:pStyle w:val="SOPLevel4"/>
      </w:pPr>
      <w:r>
        <w:t>Department Chair of the PI, or their supervisor</w:t>
      </w:r>
    </w:p>
    <w:p w14:paraId="5A67BA56" w14:textId="68414CC0" w:rsidR="000B0D54" w:rsidRPr="00810580" w:rsidRDefault="000B0D54" w:rsidP="00A251F1">
      <w:pPr>
        <w:pStyle w:val="SOPLevel4"/>
        <w:numPr>
          <w:ilvl w:val="0"/>
          <w:numId w:val="0"/>
        </w:numPr>
        <w:ind w:left="3168"/>
      </w:pPr>
    </w:p>
    <w:p w14:paraId="1391C60E" w14:textId="77777777" w:rsidR="000B0D54" w:rsidRPr="00810580" w:rsidRDefault="000B0D54" w:rsidP="000B0D54">
      <w:pPr>
        <w:pStyle w:val="SOPLevel4"/>
        <w:numPr>
          <w:ilvl w:val="0"/>
          <w:numId w:val="0"/>
        </w:numPr>
        <w:ind w:left="3168"/>
      </w:pPr>
    </w:p>
    <w:p w14:paraId="74D525B8" w14:textId="5E6905C5" w:rsidR="00916E2D" w:rsidRDefault="00916E2D" w:rsidP="00051806">
      <w:pPr>
        <w:pStyle w:val="SOPLevel2"/>
      </w:pPr>
      <w:r>
        <w:lastRenderedPageBreak/>
        <w:t>Make any newly approved consent documents</w:t>
      </w:r>
      <w:r w:rsidR="008D01DC">
        <w:t>, scripts, or assent documents</w:t>
      </w:r>
      <w:r>
        <w:t xml:space="preserve"> available to the submitter. </w:t>
      </w:r>
    </w:p>
    <w:p w14:paraId="74D525B9" w14:textId="46DBED3B" w:rsidR="00256F23" w:rsidRDefault="00E91EBA" w:rsidP="001F7306">
      <w:pPr>
        <w:pStyle w:val="SOPLevel2"/>
      </w:pPr>
      <w:r>
        <w:t xml:space="preserve">Update </w:t>
      </w:r>
      <w:r w:rsidR="00B56E45">
        <w:t>&lt;Regulatory Review&gt;</w:t>
      </w:r>
      <w:r>
        <w:t xml:space="preserve"> findings as </w:t>
      </w:r>
      <w:r w:rsidR="006F3D07">
        <w:t>applicable</w:t>
      </w:r>
      <w:r>
        <w:t>.</w:t>
      </w:r>
    </w:p>
    <w:p w14:paraId="02E5A675" w14:textId="77777777" w:rsidR="002D4E92" w:rsidRDefault="002D4E92" w:rsidP="002D4E92">
      <w:pPr>
        <w:pStyle w:val="SOPLevel1"/>
      </w:pPr>
      <w:r>
        <w:t>APPROVAL AND REVISIONS</w:t>
      </w:r>
    </w:p>
    <w:p w14:paraId="3F2F7C58" w14:textId="0DCDD00A" w:rsidR="002D4E92" w:rsidRPr="00E60F7D" w:rsidRDefault="002D4E92" w:rsidP="002D4E92">
      <w:pPr>
        <w:pStyle w:val="SOPLevel2"/>
      </w:pPr>
      <w:r>
        <w:t>06 APR 21: HRPO Director, Carley Emerson, originally created and approved</w:t>
      </w:r>
    </w:p>
    <w:p w14:paraId="74D525BA" w14:textId="77777777" w:rsidR="0027369B" w:rsidRDefault="0027369B" w:rsidP="001F7306">
      <w:pPr>
        <w:pStyle w:val="SOPLevel1"/>
      </w:pPr>
      <w:r>
        <w:t>REFERENCES</w:t>
      </w:r>
    </w:p>
    <w:p w14:paraId="74D525BB" w14:textId="77777777" w:rsidR="0049615A" w:rsidRDefault="0049615A" w:rsidP="001F7306">
      <w:pPr>
        <w:pStyle w:val="SOPLevel2"/>
      </w:pPr>
      <w:r>
        <w:t xml:space="preserve">21 CFR </w:t>
      </w:r>
      <w:r w:rsidRPr="004C5E5C">
        <w:t>§50.54</w:t>
      </w:r>
    </w:p>
    <w:p w14:paraId="74D525BC" w14:textId="77777777" w:rsidR="006D21A8" w:rsidRDefault="0049615A" w:rsidP="001F7306">
      <w:pPr>
        <w:pStyle w:val="SOPLevel2"/>
      </w:pPr>
      <w:r>
        <w:t xml:space="preserve">45 CFR </w:t>
      </w:r>
      <w:r w:rsidRPr="004C5E5C">
        <w:t>§46.207</w:t>
      </w:r>
      <w:r>
        <w:t xml:space="preserve"> and </w:t>
      </w:r>
      <w:r w:rsidRPr="004C5E5C">
        <w:t>§46.</w:t>
      </w:r>
      <w:r>
        <w:t>4</w:t>
      </w:r>
      <w:r w:rsidRPr="004C5E5C">
        <w:t>07</w:t>
      </w:r>
    </w:p>
    <w:p w14:paraId="001537E3" w14:textId="77777777" w:rsidR="006F3D07" w:rsidRPr="009922B8" w:rsidRDefault="006F3D07" w:rsidP="006F3D07">
      <w:pPr>
        <w:pStyle w:val="SOPLevel2"/>
      </w:pPr>
      <w:r w:rsidRPr="009922B8">
        <w:t>21 CFR 50.24(e) and 21 CFR 56.109(g)</w:t>
      </w:r>
    </w:p>
    <w:p w14:paraId="78CF37F3" w14:textId="5199AD46" w:rsidR="00A63EA4" w:rsidRDefault="00A63EA4" w:rsidP="00A63EA4">
      <w:pPr>
        <w:pStyle w:val="SOPLevel2"/>
      </w:pPr>
      <w:r>
        <w:t>DOD Instruction 3216.02 November 8, 2011</w:t>
      </w:r>
    </w:p>
    <w:p w14:paraId="67E54B3A" w14:textId="77777777" w:rsidR="00422CC7" w:rsidRDefault="00422CC7" w:rsidP="00422CC7">
      <w:pPr>
        <w:pStyle w:val="SOPLevel2"/>
        <w:pageBreakBefore/>
        <w:numPr>
          <w:ilvl w:val="1"/>
          <w:numId w:val="2"/>
        </w:numPr>
      </w:pPr>
      <w:r>
        <w:lastRenderedPageBreak/>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22CC7" w:rsidRPr="00170C41" w14:paraId="01CA0606" w14:textId="77777777" w:rsidTr="00BA017D">
        <w:tc>
          <w:tcPr>
            <w:tcW w:w="4788" w:type="dxa"/>
            <w:shd w:val="clear" w:color="auto" w:fill="000000"/>
          </w:tcPr>
          <w:p w14:paraId="6283CDE1" w14:textId="77777777" w:rsidR="00422CC7" w:rsidRPr="00170C41" w:rsidRDefault="00422CC7" w:rsidP="00BA017D">
            <w:pPr>
              <w:pStyle w:val="SOPBasis"/>
              <w:keepNext/>
              <w:rPr>
                <w:b/>
              </w:rPr>
            </w:pPr>
            <w:r w:rsidRPr="00170C41">
              <w:rPr>
                <w:b/>
              </w:rPr>
              <w:t>Notification</w:t>
            </w:r>
          </w:p>
        </w:tc>
        <w:tc>
          <w:tcPr>
            <w:tcW w:w="4788" w:type="dxa"/>
            <w:shd w:val="clear" w:color="auto" w:fill="000000"/>
          </w:tcPr>
          <w:p w14:paraId="757E1A76" w14:textId="77777777" w:rsidR="00422CC7" w:rsidRPr="00170C41" w:rsidRDefault="00422CC7" w:rsidP="00BA017D">
            <w:pPr>
              <w:pStyle w:val="SOPBasis"/>
              <w:keepNext/>
              <w:rPr>
                <w:b/>
              </w:rPr>
            </w:pPr>
            <w:r w:rsidRPr="00170C41">
              <w:rPr>
                <w:b/>
              </w:rPr>
              <w:t>Template</w:t>
            </w:r>
          </w:p>
        </w:tc>
      </w:tr>
      <w:tr w:rsidR="00422CC7" w:rsidRPr="00170C41" w14:paraId="18BBC28A" w14:textId="77777777" w:rsidTr="00BA017D">
        <w:tc>
          <w:tcPr>
            <w:tcW w:w="4788" w:type="dxa"/>
            <w:shd w:val="clear" w:color="auto" w:fill="auto"/>
          </w:tcPr>
          <w:p w14:paraId="3E55D00C" w14:textId="77777777" w:rsidR="00422CC7" w:rsidRPr="00170C41" w:rsidRDefault="00422CC7" w:rsidP="00BA017D">
            <w:pPr>
              <w:pStyle w:val="SOPBasis"/>
              <w:keepNext/>
            </w:pPr>
            <w:r w:rsidRPr="00170C41">
              <w:t>Approve (with continuing review date)</w:t>
            </w:r>
          </w:p>
        </w:tc>
        <w:tc>
          <w:tcPr>
            <w:tcW w:w="4788" w:type="dxa"/>
            <w:shd w:val="clear" w:color="auto" w:fill="auto"/>
          </w:tcPr>
          <w:p w14:paraId="7D1B3B38" w14:textId="07AF9953" w:rsidR="00422CC7" w:rsidRPr="00170C41" w:rsidRDefault="00106160" w:rsidP="00BA017D">
            <w:pPr>
              <w:pStyle w:val="SOPBasis"/>
              <w:keepNext/>
            </w:pPr>
            <w:r>
              <w:t>A</w:t>
            </w:r>
            <w:r w:rsidR="00422CC7" w:rsidRPr="00170C41">
              <w:t>pproval</w:t>
            </w:r>
          </w:p>
        </w:tc>
      </w:tr>
      <w:tr w:rsidR="00422CC7" w:rsidRPr="00170C41" w14:paraId="0ED69F76" w14:textId="77777777" w:rsidTr="00BA017D">
        <w:tc>
          <w:tcPr>
            <w:tcW w:w="4788" w:type="dxa"/>
            <w:shd w:val="clear" w:color="auto" w:fill="auto"/>
          </w:tcPr>
          <w:p w14:paraId="7622F0E3" w14:textId="77777777" w:rsidR="00422CC7" w:rsidRPr="00170C41" w:rsidRDefault="00422CC7" w:rsidP="00BA017D">
            <w:pPr>
              <w:pStyle w:val="SOPBasis"/>
              <w:keepNext/>
            </w:pPr>
            <w:r w:rsidRPr="00170C41">
              <w:t>Approve (with no continuing review date)</w:t>
            </w:r>
          </w:p>
        </w:tc>
        <w:tc>
          <w:tcPr>
            <w:tcW w:w="4788" w:type="dxa"/>
            <w:shd w:val="clear" w:color="auto" w:fill="auto"/>
          </w:tcPr>
          <w:p w14:paraId="35801C9E" w14:textId="7699B900" w:rsidR="00422CC7" w:rsidRPr="00170C41" w:rsidRDefault="00106160" w:rsidP="00BA017D">
            <w:pPr>
              <w:pStyle w:val="SOPBasis"/>
              <w:keepNext/>
            </w:pPr>
            <w:r>
              <w:t>A</w:t>
            </w:r>
            <w:r w:rsidRPr="00170C41">
              <w:t>pproval</w:t>
            </w:r>
          </w:p>
        </w:tc>
      </w:tr>
      <w:tr w:rsidR="00422CC7" w:rsidRPr="00170C41" w14:paraId="0CFAAE44" w14:textId="77777777" w:rsidTr="00BA017D">
        <w:tc>
          <w:tcPr>
            <w:tcW w:w="4788" w:type="dxa"/>
            <w:shd w:val="clear" w:color="auto" w:fill="auto"/>
          </w:tcPr>
          <w:p w14:paraId="5AB01EF9" w14:textId="77777777" w:rsidR="00422CC7" w:rsidRPr="00170C41" w:rsidRDefault="00422CC7" w:rsidP="00BA017D">
            <w:pPr>
              <w:pStyle w:val="SOPBasis"/>
              <w:keepNext/>
            </w:pPr>
            <w:r w:rsidRPr="00170C41">
              <w:t>Close</w:t>
            </w:r>
          </w:p>
        </w:tc>
        <w:tc>
          <w:tcPr>
            <w:tcW w:w="4788" w:type="dxa"/>
            <w:shd w:val="clear" w:color="auto" w:fill="auto"/>
          </w:tcPr>
          <w:p w14:paraId="31A11DA2" w14:textId="025B2985" w:rsidR="00422CC7" w:rsidRPr="00170C41" w:rsidRDefault="00106160" w:rsidP="00BA017D">
            <w:pPr>
              <w:pStyle w:val="SOPBasis"/>
              <w:keepNext/>
            </w:pPr>
            <w:r>
              <w:t>Closure</w:t>
            </w:r>
          </w:p>
        </w:tc>
      </w:tr>
      <w:tr w:rsidR="00422CC7" w:rsidRPr="00170C41" w14:paraId="5DB6F06D" w14:textId="77777777" w:rsidTr="00BA017D">
        <w:tc>
          <w:tcPr>
            <w:tcW w:w="4788" w:type="dxa"/>
            <w:shd w:val="clear" w:color="auto" w:fill="auto"/>
          </w:tcPr>
          <w:p w14:paraId="07FC1516" w14:textId="32240F2C" w:rsidR="00422CC7" w:rsidRPr="00170C41" w:rsidRDefault="00422CC7" w:rsidP="00BA017D">
            <w:pPr>
              <w:pStyle w:val="SOPBasis"/>
              <w:keepNext/>
            </w:pPr>
            <w:r w:rsidRPr="00170C41">
              <w:t>Conditional</w:t>
            </w:r>
            <w:r w:rsidR="00106160">
              <w:t>ly</w:t>
            </w:r>
            <w:r w:rsidRPr="00170C41">
              <w:t xml:space="preserve"> Approve</w:t>
            </w:r>
          </w:p>
        </w:tc>
        <w:tc>
          <w:tcPr>
            <w:tcW w:w="4788" w:type="dxa"/>
            <w:shd w:val="clear" w:color="auto" w:fill="auto"/>
          </w:tcPr>
          <w:p w14:paraId="6CC1B12D" w14:textId="7E5471CF" w:rsidR="00422CC7" w:rsidRPr="00170C41" w:rsidRDefault="00106160" w:rsidP="00BA017D">
            <w:pPr>
              <w:pStyle w:val="SOPBasis"/>
              <w:keepNext/>
            </w:pPr>
            <w:r>
              <w:t>A</w:t>
            </w:r>
            <w:r w:rsidR="00422CC7" w:rsidRPr="00170C41">
              <w:t>pproval with conditions</w:t>
            </w:r>
          </w:p>
        </w:tc>
      </w:tr>
      <w:tr w:rsidR="00422CC7" w:rsidRPr="00170C41" w14:paraId="115A9DD9" w14:textId="77777777" w:rsidTr="00BA017D">
        <w:tc>
          <w:tcPr>
            <w:tcW w:w="4788" w:type="dxa"/>
            <w:shd w:val="clear" w:color="auto" w:fill="auto"/>
          </w:tcPr>
          <w:p w14:paraId="4E3260C9" w14:textId="054E7D40" w:rsidR="00422CC7" w:rsidRPr="00170C41" w:rsidRDefault="00422CC7" w:rsidP="00BA017D">
            <w:pPr>
              <w:pStyle w:val="SOPBasis"/>
              <w:keepNext/>
            </w:pPr>
            <w:r w:rsidRPr="00170C41">
              <w:t>Conditional</w:t>
            </w:r>
            <w:r w:rsidR="00106160">
              <w:t>ly</w:t>
            </w:r>
            <w:r w:rsidRPr="00170C41">
              <w:t xml:space="preserve"> Determine Human Research Not Engaged</w:t>
            </w:r>
          </w:p>
        </w:tc>
        <w:tc>
          <w:tcPr>
            <w:tcW w:w="4788" w:type="dxa"/>
            <w:shd w:val="clear" w:color="auto" w:fill="auto"/>
          </w:tcPr>
          <w:p w14:paraId="7DB7DB07" w14:textId="089F0FA3" w:rsidR="00422CC7" w:rsidRPr="00170C41" w:rsidRDefault="00106160" w:rsidP="00BA017D">
            <w:pPr>
              <w:pStyle w:val="SOPBasis"/>
              <w:keepNext/>
            </w:pPr>
            <w:r>
              <w:t>Determination with conditions</w:t>
            </w:r>
          </w:p>
        </w:tc>
      </w:tr>
      <w:tr w:rsidR="00422CC7" w:rsidRPr="00170C41" w14:paraId="13ABADE7" w14:textId="77777777" w:rsidTr="00BA017D">
        <w:tc>
          <w:tcPr>
            <w:tcW w:w="4788" w:type="dxa"/>
            <w:shd w:val="clear" w:color="auto" w:fill="auto"/>
          </w:tcPr>
          <w:p w14:paraId="5C663C83" w14:textId="77777777" w:rsidR="00422CC7" w:rsidRPr="00170C41" w:rsidRDefault="00422CC7" w:rsidP="00BA017D">
            <w:pPr>
              <w:pStyle w:val="SOPBasis"/>
              <w:keepNext/>
            </w:pPr>
            <w:r w:rsidRPr="00170C41">
              <w:t>Conditional Determine Not Human Research</w:t>
            </w:r>
          </w:p>
        </w:tc>
        <w:tc>
          <w:tcPr>
            <w:tcW w:w="4788" w:type="dxa"/>
            <w:shd w:val="clear" w:color="auto" w:fill="auto"/>
          </w:tcPr>
          <w:p w14:paraId="592C4DA6" w14:textId="592786F4" w:rsidR="00422CC7" w:rsidRPr="00170C41" w:rsidRDefault="00106160" w:rsidP="00BA017D">
            <w:pPr>
              <w:pStyle w:val="SOPBasis"/>
              <w:keepNext/>
            </w:pPr>
            <w:r>
              <w:t>Determination with conditions</w:t>
            </w:r>
          </w:p>
        </w:tc>
      </w:tr>
      <w:tr w:rsidR="00422CC7" w:rsidRPr="00170C41" w14:paraId="591DB521" w14:textId="77777777" w:rsidTr="00BA017D">
        <w:tc>
          <w:tcPr>
            <w:tcW w:w="4788" w:type="dxa"/>
            <w:shd w:val="clear" w:color="auto" w:fill="auto"/>
          </w:tcPr>
          <w:p w14:paraId="3C3B2D2B" w14:textId="77777777" w:rsidR="00422CC7" w:rsidRPr="00170C41" w:rsidRDefault="00422CC7" w:rsidP="00BA017D">
            <w:pPr>
              <w:pStyle w:val="SOPBasis"/>
              <w:keepNext/>
            </w:pPr>
            <w:r w:rsidRPr="00170C41">
              <w:t>Defer</w:t>
            </w:r>
          </w:p>
        </w:tc>
        <w:tc>
          <w:tcPr>
            <w:tcW w:w="4788" w:type="dxa"/>
            <w:shd w:val="clear" w:color="auto" w:fill="auto"/>
          </w:tcPr>
          <w:p w14:paraId="45409194" w14:textId="5C7114F5" w:rsidR="00422CC7" w:rsidRPr="00170C41" w:rsidRDefault="00106160" w:rsidP="00BA017D">
            <w:pPr>
              <w:pStyle w:val="SOPBasis"/>
              <w:keepNext/>
            </w:pPr>
            <w:r>
              <w:t>D</w:t>
            </w:r>
            <w:r w:rsidR="00422CC7" w:rsidRPr="00170C41">
              <w:t>eferral</w:t>
            </w:r>
          </w:p>
        </w:tc>
      </w:tr>
      <w:tr w:rsidR="00422CC7" w:rsidRPr="00170C41" w14:paraId="7FB20C0B" w14:textId="77777777" w:rsidTr="00BA017D">
        <w:tc>
          <w:tcPr>
            <w:tcW w:w="4788" w:type="dxa"/>
            <w:shd w:val="clear" w:color="auto" w:fill="auto"/>
          </w:tcPr>
          <w:p w14:paraId="63BA8F13" w14:textId="77777777" w:rsidR="00422CC7" w:rsidRPr="00170C41" w:rsidRDefault="00422CC7" w:rsidP="00BA017D">
            <w:pPr>
              <w:pStyle w:val="SOPBasis"/>
              <w:keepNext/>
            </w:pPr>
            <w:r w:rsidRPr="00170C41">
              <w:t>Disapprove</w:t>
            </w:r>
          </w:p>
        </w:tc>
        <w:tc>
          <w:tcPr>
            <w:tcW w:w="4788" w:type="dxa"/>
            <w:shd w:val="clear" w:color="auto" w:fill="auto"/>
          </w:tcPr>
          <w:p w14:paraId="070FAED0" w14:textId="793DDE6E" w:rsidR="00422CC7" w:rsidRPr="00170C41" w:rsidRDefault="00106160" w:rsidP="00BA017D">
            <w:pPr>
              <w:pStyle w:val="SOPBasis"/>
              <w:keepNext/>
            </w:pPr>
            <w:r>
              <w:t>D</w:t>
            </w:r>
            <w:r w:rsidR="00422CC7" w:rsidRPr="00170C41">
              <w:t>isapproval</w:t>
            </w:r>
          </w:p>
        </w:tc>
      </w:tr>
      <w:tr w:rsidR="00422CC7" w:rsidRPr="00170C41" w14:paraId="38959C48" w14:textId="77777777" w:rsidTr="00BA017D">
        <w:tc>
          <w:tcPr>
            <w:tcW w:w="4788" w:type="dxa"/>
            <w:shd w:val="clear" w:color="auto" w:fill="auto"/>
          </w:tcPr>
          <w:p w14:paraId="6C8501D2" w14:textId="77777777" w:rsidR="00422CC7" w:rsidRPr="00170C41" w:rsidRDefault="00422CC7" w:rsidP="00BA017D">
            <w:pPr>
              <w:pStyle w:val="SOPBasis"/>
              <w:keepNext/>
            </w:pPr>
            <w:r w:rsidRPr="00170C41">
              <w:t>Expired</w:t>
            </w:r>
          </w:p>
        </w:tc>
        <w:tc>
          <w:tcPr>
            <w:tcW w:w="4788" w:type="dxa"/>
            <w:shd w:val="clear" w:color="auto" w:fill="auto"/>
          </w:tcPr>
          <w:p w14:paraId="45A3D0FF" w14:textId="558B2396" w:rsidR="00422CC7" w:rsidRPr="00170C41" w:rsidRDefault="00106160" w:rsidP="00BA017D">
            <w:pPr>
              <w:pStyle w:val="SOPBasis"/>
              <w:keepNext/>
            </w:pPr>
            <w:r>
              <w:t>Expired</w:t>
            </w:r>
          </w:p>
        </w:tc>
      </w:tr>
      <w:tr w:rsidR="00422CC7" w:rsidRPr="00170C41" w14:paraId="1A5522A1" w14:textId="77777777" w:rsidTr="00BA017D">
        <w:tc>
          <w:tcPr>
            <w:tcW w:w="4788" w:type="dxa"/>
            <w:shd w:val="clear" w:color="auto" w:fill="auto"/>
          </w:tcPr>
          <w:p w14:paraId="5E99413C" w14:textId="77777777" w:rsidR="00422CC7" w:rsidRPr="00170C41" w:rsidRDefault="00422CC7" w:rsidP="00BA017D">
            <w:pPr>
              <w:pStyle w:val="SOPBasis"/>
              <w:keepNext/>
            </w:pPr>
            <w:r w:rsidRPr="00170C41">
              <w:t>Human Research Not Engaged</w:t>
            </w:r>
          </w:p>
        </w:tc>
        <w:tc>
          <w:tcPr>
            <w:tcW w:w="4788" w:type="dxa"/>
            <w:shd w:val="clear" w:color="auto" w:fill="auto"/>
          </w:tcPr>
          <w:p w14:paraId="386874C9" w14:textId="55E1149F" w:rsidR="00422CC7" w:rsidRPr="00170C41" w:rsidRDefault="00106160" w:rsidP="00BA017D">
            <w:pPr>
              <w:pStyle w:val="SOPBasis"/>
              <w:keepNext/>
            </w:pPr>
            <w:r>
              <w:t>Not engaged</w:t>
            </w:r>
          </w:p>
        </w:tc>
      </w:tr>
      <w:tr w:rsidR="00422CC7" w:rsidRPr="00170C41" w14:paraId="6FAACB82" w14:textId="77777777" w:rsidTr="00BA017D">
        <w:tc>
          <w:tcPr>
            <w:tcW w:w="4788" w:type="dxa"/>
            <w:shd w:val="clear" w:color="auto" w:fill="auto"/>
          </w:tcPr>
          <w:p w14:paraId="4F1E4BA3" w14:textId="77777777" w:rsidR="00422CC7" w:rsidRPr="00170C41" w:rsidRDefault="00422CC7" w:rsidP="00BA017D">
            <w:pPr>
              <w:pStyle w:val="SOPBasis"/>
              <w:keepNext/>
            </w:pPr>
            <w:r w:rsidRPr="00170C41">
              <w:t>Lift Suspension</w:t>
            </w:r>
          </w:p>
        </w:tc>
        <w:tc>
          <w:tcPr>
            <w:tcW w:w="4788" w:type="dxa"/>
            <w:shd w:val="clear" w:color="auto" w:fill="auto"/>
          </w:tcPr>
          <w:p w14:paraId="58487B30" w14:textId="36E0FD84" w:rsidR="00422CC7" w:rsidRPr="00170C41" w:rsidRDefault="00106160" w:rsidP="00BA017D">
            <w:pPr>
              <w:pStyle w:val="SOPBasis"/>
              <w:keepNext/>
            </w:pPr>
            <w:r>
              <w:t>L</w:t>
            </w:r>
            <w:r w:rsidR="00422CC7" w:rsidRPr="00170C41">
              <w:t>ifting of suspension</w:t>
            </w:r>
          </w:p>
        </w:tc>
      </w:tr>
      <w:tr w:rsidR="00422CC7" w:rsidRPr="00170C41" w14:paraId="048A72AF" w14:textId="77777777" w:rsidTr="00BA017D">
        <w:tc>
          <w:tcPr>
            <w:tcW w:w="4788" w:type="dxa"/>
            <w:shd w:val="clear" w:color="auto" w:fill="auto"/>
          </w:tcPr>
          <w:p w14:paraId="064E29B9" w14:textId="77777777" w:rsidR="00422CC7" w:rsidRPr="00170C41" w:rsidRDefault="00422CC7" w:rsidP="00BA017D">
            <w:pPr>
              <w:pStyle w:val="SOPBasis"/>
              <w:keepNext/>
            </w:pPr>
            <w:r w:rsidRPr="00170C41">
              <w:t>Not Human Research</w:t>
            </w:r>
          </w:p>
        </w:tc>
        <w:tc>
          <w:tcPr>
            <w:tcW w:w="4788" w:type="dxa"/>
            <w:shd w:val="clear" w:color="auto" w:fill="auto"/>
          </w:tcPr>
          <w:p w14:paraId="391F65A0" w14:textId="20061EF5" w:rsidR="00422CC7" w:rsidRPr="00170C41" w:rsidRDefault="00422CC7" w:rsidP="00106160">
            <w:pPr>
              <w:pStyle w:val="SOPBasis"/>
              <w:keepNext/>
            </w:pPr>
            <w:r w:rsidRPr="00170C41">
              <w:t xml:space="preserve">Not Human Subject Research </w:t>
            </w:r>
            <w:r w:rsidR="00106160">
              <w:t>Letter</w:t>
            </w:r>
          </w:p>
        </w:tc>
      </w:tr>
      <w:tr w:rsidR="00422CC7" w:rsidRPr="00170C41" w14:paraId="2B9B5AF3" w14:textId="77777777" w:rsidTr="00BA017D">
        <w:tc>
          <w:tcPr>
            <w:tcW w:w="4788" w:type="dxa"/>
            <w:shd w:val="clear" w:color="auto" w:fill="auto"/>
          </w:tcPr>
          <w:p w14:paraId="4E5E68F5" w14:textId="77777777" w:rsidR="00422CC7" w:rsidRPr="00170C41" w:rsidRDefault="00422CC7" w:rsidP="00BA017D">
            <w:pPr>
              <w:pStyle w:val="SOPBasis"/>
              <w:keepNext/>
            </w:pPr>
            <w:r w:rsidRPr="00170C41">
              <w:t>Suspend</w:t>
            </w:r>
          </w:p>
        </w:tc>
        <w:tc>
          <w:tcPr>
            <w:tcW w:w="4788" w:type="dxa"/>
            <w:shd w:val="clear" w:color="auto" w:fill="auto"/>
          </w:tcPr>
          <w:p w14:paraId="16ED607D" w14:textId="706A7E0D" w:rsidR="00422CC7" w:rsidRPr="00170C41" w:rsidRDefault="00106160" w:rsidP="00BA017D">
            <w:pPr>
              <w:pStyle w:val="SOPBasis"/>
              <w:keepNext/>
            </w:pPr>
            <w:r>
              <w:t>Suspension of IRB approval</w:t>
            </w:r>
          </w:p>
        </w:tc>
      </w:tr>
      <w:tr w:rsidR="00106160" w:rsidRPr="00170C41" w14:paraId="41EE8EAF" w14:textId="77777777" w:rsidTr="00BA017D">
        <w:tc>
          <w:tcPr>
            <w:tcW w:w="4788" w:type="dxa"/>
            <w:shd w:val="clear" w:color="auto" w:fill="auto"/>
          </w:tcPr>
          <w:p w14:paraId="01FCF752" w14:textId="77777777" w:rsidR="00106160" w:rsidRPr="00170C41" w:rsidRDefault="00106160" w:rsidP="00106160">
            <w:pPr>
              <w:pStyle w:val="SOPBasis"/>
              <w:keepNext/>
            </w:pPr>
            <w:r w:rsidRPr="00170C41">
              <w:t>Terminate</w:t>
            </w:r>
          </w:p>
        </w:tc>
        <w:tc>
          <w:tcPr>
            <w:tcW w:w="4788" w:type="dxa"/>
            <w:shd w:val="clear" w:color="auto" w:fill="auto"/>
          </w:tcPr>
          <w:p w14:paraId="60A8AC80" w14:textId="4072B567" w:rsidR="00106160" w:rsidRPr="00170C41" w:rsidRDefault="00106160" w:rsidP="00106160">
            <w:pPr>
              <w:pStyle w:val="SOPBasis"/>
              <w:keepNext/>
            </w:pPr>
            <w:r>
              <w:t>Termination of IRB approval</w:t>
            </w:r>
          </w:p>
        </w:tc>
      </w:tr>
      <w:tr w:rsidR="00422CC7" w:rsidRPr="00170C41" w14:paraId="2F4216BE" w14:textId="77777777" w:rsidTr="00BA017D">
        <w:tc>
          <w:tcPr>
            <w:tcW w:w="4788" w:type="dxa"/>
            <w:shd w:val="clear" w:color="auto" w:fill="auto"/>
          </w:tcPr>
          <w:p w14:paraId="50EB61A3" w14:textId="77777777" w:rsidR="00422CC7" w:rsidRPr="00170C41" w:rsidRDefault="00422CC7" w:rsidP="00BA017D">
            <w:pPr>
              <w:pStyle w:val="SOPBasis"/>
              <w:keepNext/>
            </w:pPr>
            <w:r w:rsidRPr="00170C41">
              <w:t>Information Item</w:t>
            </w:r>
          </w:p>
        </w:tc>
        <w:tc>
          <w:tcPr>
            <w:tcW w:w="4788" w:type="dxa"/>
            <w:shd w:val="clear" w:color="auto" w:fill="auto"/>
          </w:tcPr>
          <w:p w14:paraId="710D88B2" w14:textId="0BA613DA" w:rsidR="00422CC7" w:rsidRPr="00170C41" w:rsidRDefault="00106160" w:rsidP="00BA017D">
            <w:pPr>
              <w:pStyle w:val="SOPBasis"/>
              <w:keepNext/>
            </w:pPr>
            <w:r>
              <w:t>A</w:t>
            </w:r>
            <w:r w:rsidR="00422CC7" w:rsidRPr="00170C41">
              <w:t>cknowledgement letter</w:t>
            </w:r>
          </w:p>
        </w:tc>
      </w:tr>
      <w:tr w:rsidR="00422CC7" w:rsidRPr="00170C41" w14:paraId="78474CF5" w14:textId="77777777" w:rsidTr="00BA017D">
        <w:tc>
          <w:tcPr>
            <w:tcW w:w="4788" w:type="dxa"/>
            <w:shd w:val="clear" w:color="auto" w:fill="auto"/>
          </w:tcPr>
          <w:p w14:paraId="156F3717" w14:textId="77777777" w:rsidR="00422CC7" w:rsidRPr="00170C41" w:rsidRDefault="00422CC7" w:rsidP="00BA017D">
            <w:pPr>
              <w:pStyle w:val="SOPBasis"/>
              <w:keepNext/>
            </w:pPr>
            <w:r w:rsidRPr="00170C41">
              <w:t>Information Item determined to be:</w:t>
            </w:r>
          </w:p>
          <w:p w14:paraId="66A12C71" w14:textId="77777777" w:rsidR="00422CC7" w:rsidRPr="00170C41" w:rsidRDefault="00422CC7" w:rsidP="00BA017D">
            <w:pPr>
              <w:pStyle w:val="SOPBasis"/>
              <w:keepNext/>
              <w:numPr>
                <w:ilvl w:val="0"/>
                <w:numId w:val="5"/>
              </w:numPr>
            </w:pPr>
            <w:r w:rsidRPr="00170C41">
              <w:t>&lt;Continuing Noncompliance&gt;</w:t>
            </w:r>
          </w:p>
          <w:p w14:paraId="5032E901" w14:textId="77777777" w:rsidR="00422CC7" w:rsidRPr="00170C41" w:rsidRDefault="00422CC7" w:rsidP="00BA017D">
            <w:pPr>
              <w:pStyle w:val="SOPBasis"/>
              <w:keepNext/>
              <w:numPr>
                <w:ilvl w:val="0"/>
                <w:numId w:val="5"/>
              </w:numPr>
            </w:pPr>
            <w:r w:rsidRPr="00170C41">
              <w:t>&lt;Serious Noncompliance&gt;</w:t>
            </w:r>
          </w:p>
          <w:p w14:paraId="4C21B22A" w14:textId="77777777" w:rsidR="00422CC7" w:rsidRPr="00170C41" w:rsidRDefault="00422CC7" w:rsidP="00BA017D">
            <w:pPr>
              <w:pStyle w:val="SOPBasis"/>
              <w:keepNext/>
              <w:numPr>
                <w:ilvl w:val="0"/>
                <w:numId w:val="5"/>
              </w:numPr>
            </w:pPr>
            <w:r w:rsidRPr="00170C41">
              <w:t>&lt;Suspension of IRB Approval&gt;</w:t>
            </w:r>
          </w:p>
          <w:p w14:paraId="43BCD730" w14:textId="77777777" w:rsidR="00422CC7" w:rsidRPr="00170C41" w:rsidRDefault="00422CC7" w:rsidP="00BA017D">
            <w:pPr>
              <w:pStyle w:val="SOPBasis"/>
              <w:keepNext/>
              <w:numPr>
                <w:ilvl w:val="0"/>
                <w:numId w:val="5"/>
              </w:numPr>
            </w:pPr>
            <w:r w:rsidRPr="00170C41">
              <w:t>&lt;Termination of IRB Approval&gt;</w:t>
            </w:r>
          </w:p>
          <w:p w14:paraId="3E9835C9" w14:textId="77777777" w:rsidR="00422CC7" w:rsidRPr="00170C41" w:rsidRDefault="00422CC7" w:rsidP="00BA017D">
            <w:pPr>
              <w:pStyle w:val="SOPBasis"/>
              <w:keepNext/>
              <w:numPr>
                <w:ilvl w:val="0"/>
                <w:numId w:val="5"/>
              </w:numPr>
            </w:pPr>
            <w:r w:rsidRPr="00170C41">
              <w:t>&lt;Unanticipated Problems Involving Risks to Subjects or Others&gt;</w:t>
            </w:r>
          </w:p>
        </w:tc>
        <w:tc>
          <w:tcPr>
            <w:tcW w:w="4788" w:type="dxa"/>
            <w:shd w:val="clear" w:color="auto" w:fill="auto"/>
          </w:tcPr>
          <w:p w14:paraId="09F8FFCD" w14:textId="77777777" w:rsidR="00422CC7" w:rsidRDefault="00106160" w:rsidP="00BA017D">
            <w:pPr>
              <w:pStyle w:val="SOPBasis"/>
              <w:keepNext/>
            </w:pPr>
            <w:r>
              <w:t>External Report</w:t>
            </w:r>
          </w:p>
          <w:p w14:paraId="6C75A4FC" w14:textId="45FA7FEB" w:rsidR="00106160" w:rsidRPr="00170C41" w:rsidRDefault="00106160" w:rsidP="00BA017D">
            <w:pPr>
              <w:pStyle w:val="SOPBasis"/>
              <w:keepNext/>
            </w:pPr>
            <w:r>
              <w:t>Internal Report</w:t>
            </w:r>
          </w:p>
        </w:tc>
      </w:tr>
      <w:tr w:rsidR="00422CC7" w:rsidRPr="00170C41" w14:paraId="52BC1EEA" w14:textId="77777777" w:rsidTr="00BA017D">
        <w:tc>
          <w:tcPr>
            <w:tcW w:w="4788" w:type="dxa"/>
            <w:shd w:val="clear" w:color="auto" w:fill="auto"/>
          </w:tcPr>
          <w:p w14:paraId="6260451E" w14:textId="77777777" w:rsidR="00422CC7" w:rsidRPr="00170C41" w:rsidRDefault="00422CC7" w:rsidP="00BA017D">
            <w:pPr>
              <w:pStyle w:val="SOPBasis"/>
              <w:keepNext/>
            </w:pPr>
            <w:r w:rsidRPr="00170C41">
              <w:t>Waiver of HIPAA Authorization</w:t>
            </w:r>
          </w:p>
        </w:tc>
        <w:tc>
          <w:tcPr>
            <w:tcW w:w="4788" w:type="dxa"/>
            <w:shd w:val="clear" w:color="auto" w:fill="auto"/>
          </w:tcPr>
          <w:p w14:paraId="22488251" w14:textId="7D544717" w:rsidR="00422CC7" w:rsidRPr="00170C41" w:rsidRDefault="00422CC7" w:rsidP="00BA017D">
            <w:pPr>
              <w:pStyle w:val="SOPBasis"/>
              <w:keepNext/>
            </w:pPr>
            <w:r w:rsidRPr="00170C41">
              <w:t xml:space="preserve">HIPAA Waiver </w:t>
            </w:r>
          </w:p>
        </w:tc>
      </w:tr>
      <w:tr w:rsidR="001C7A95" w:rsidRPr="00170C41" w14:paraId="18961E5E" w14:textId="77777777" w:rsidTr="00BA017D">
        <w:tc>
          <w:tcPr>
            <w:tcW w:w="4788" w:type="dxa"/>
            <w:shd w:val="clear" w:color="auto" w:fill="auto"/>
          </w:tcPr>
          <w:p w14:paraId="15FAC769" w14:textId="77777777" w:rsidR="001C7A95" w:rsidRPr="00170C41" w:rsidRDefault="001C7A95" w:rsidP="001C7A95">
            <w:pPr>
              <w:pStyle w:val="SOPBasis"/>
              <w:keepNext/>
            </w:pPr>
            <w:r w:rsidRPr="00170C41">
              <w:t>Notification to OHRP of approval of waiver of consent for planned emergency research</w:t>
            </w:r>
          </w:p>
        </w:tc>
        <w:tc>
          <w:tcPr>
            <w:tcW w:w="4788" w:type="dxa"/>
            <w:shd w:val="clear" w:color="auto" w:fill="auto"/>
          </w:tcPr>
          <w:p w14:paraId="66885E4A" w14:textId="448981F7" w:rsidR="001C7A95" w:rsidRPr="00170C41" w:rsidRDefault="001C7A95" w:rsidP="001C7A95">
            <w:pPr>
              <w:pStyle w:val="SOPBasis"/>
              <w:keepNext/>
            </w:pPr>
            <w:r>
              <w:t xml:space="preserve">Notification </w:t>
            </w:r>
            <w:r w:rsidRPr="00170C41">
              <w:t>of approval of waiver of consent for planned emergency research</w:t>
            </w:r>
          </w:p>
        </w:tc>
      </w:tr>
      <w:tr w:rsidR="00422CC7" w:rsidRPr="00170C41" w14:paraId="49BF29E5" w14:textId="77777777" w:rsidTr="00BA017D">
        <w:tc>
          <w:tcPr>
            <w:tcW w:w="4788" w:type="dxa"/>
            <w:shd w:val="clear" w:color="auto" w:fill="auto"/>
          </w:tcPr>
          <w:p w14:paraId="5217BBB0" w14:textId="77777777" w:rsidR="00422CC7" w:rsidRPr="00170C41" w:rsidRDefault="00422CC7" w:rsidP="00BA017D">
            <w:pPr>
              <w:pStyle w:val="SOPBasis"/>
              <w:keepNext/>
            </w:pPr>
            <w:r w:rsidRPr="00170C41">
              <w:t>Request for FDA or OHRP review of Not Otherwise Approval Research</w:t>
            </w:r>
          </w:p>
        </w:tc>
        <w:tc>
          <w:tcPr>
            <w:tcW w:w="4788" w:type="dxa"/>
            <w:shd w:val="clear" w:color="auto" w:fill="auto"/>
          </w:tcPr>
          <w:p w14:paraId="738829F9" w14:textId="308EAAF1" w:rsidR="00422CC7" w:rsidRPr="00170C41" w:rsidRDefault="00106160" w:rsidP="00BA017D">
            <w:pPr>
              <w:pStyle w:val="SOPBasis"/>
              <w:keepNext/>
            </w:pPr>
            <w:r>
              <w:t>N</w:t>
            </w:r>
            <w:r w:rsidR="00422CC7" w:rsidRPr="00170C41">
              <w:t>otification of not otherwise approvable research</w:t>
            </w:r>
          </w:p>
        </w:tc>
      </w:tr>
      <w:tr w:rsidR="00422CC7" w:rsidRPr="00170C41" w14:paraId="25DFF3DA" w14:textId="77777777" w:rsidTr="00BA017D">
        <w:tc>
          <w:tcPr>
            <w:tcW w:w="4788" w:type="dxa"/>
            <w:shd w:val="clear" w:color="auto" w:fill="auto"/>
          </w:tcPr>
          <w:p w14:paraId="45B71A85" w14:textId="77777777" w:rsidR="00422CC7" w:rsidRPr="00170C41" w:rsidRDefault="00422CC7" w:rsidP="00BA017D">
            <w:pPr>
              <w:pStyle w:val="SOPBasis"/>
              <w:keepNext/>
            </w:pPr>
            <w:r w:rsidRPr="00170C41">
              <w:t>Request for NSR determined to be SR</w:t>
            </w:r>
          </w:p>
        </w:tc>
        <w:tc>
          <w:tcPr>
            <w:tcW w:w="4788" w:type="dxa"/>
            <w:shd w:val="clear" w:color="auto" w:fill="auto"/>
          </w:tcPr>
          <w:p w14:paraId="1C81427A" w14:textId="77777777" w:rsidR="00422CC7" w:rsidRPr="00170C41" w:rsidRDefault="00422CC7" w:rsidP="00BA017D">
            <w:pPr>
              <w:pStyle w:val="SOPBasis"/>
              <w:keepNext/>
            </w:pPr>
            <w:r w:rsidRPr="00170C41">
              <w:t>Significant Risk Device Determination</w:t>
            </w:r>
          </w:p>
        </w:tc>
      </w:tr>
      <w:tr w:rsidR="00422CC7" w:rsidRPr="00170C41" w14:paraId="5CF84350" w14:textId="77777777" w:rsidTr="00BA017D">
        <w:tc>
          <w:tcPr>
            <w:tcW w:w="4788" w:type="dxa"/>
            <w:shd w:val="clear" w:color="auto" w:fill="auto"/>
          </w:tcPr>
          <w:p w14:paraId="1B9AA825" w14:textId="77777777" w:rsidR="00422CC7" w:rsidRPr="00170C41" w:rsidRDefault="00422CC7" w:rsidP="00BA017D">
            <w:pPr>
              <w:pStyle w:val="SOPBasis"/>
              <w:keepNext/>
            </w:pPr>
            <w:r w:rsidRPr="00170C41">
              <w:t>Request for OHRP certification of prisoner research</w:t>
            </w:r>
          </w:p>
        </w:tc>
        <w:tc>
          <w:tcPr>
            <w:tcW w:w="4788" w:type="dxa"/>
            <w:shd w:val="clear" w:color="auto" w:fill="auto"/>
          </w:tcPr>
          <w:p w14:paraId="173164E4" w14:textId="77777777" w:rsidR="00422CC7" w:rsidRPr="00170C41" w:rsidRDefault="00422CC7" w:rsidP="00BA017D">
            <w:pPr>
              <w:pStyle w:val="SOPBasis"/>
              <w:keepNext/>
            </w:pPr>
            <w:r w:rsidRPr="00170C41">
              <w:t>Certification of Prisoner Research</w:t>
            </w:r>
          </w:p>
        </w:tc>
      </w:tr>
      <w:tr w:rsidR="00422CC7" w:rsidRPr="00170C41" w14:paraId="19484527" w14:textId="77777777" w:rsidTr="00BA017D">
        <w:tc>
          <w:tcPr>
            <w:tcW w:w="4788" w:type="dxa"/>
            <w:shd w:val="clear" w:color="auto" w:fill="auto"/>
          </w:tcPr>
          <w:p w14:paraId="3B3B2EA7" w14:textId="2D81D104" w:rsidR="00422CC7" w:rsidRPr="00170C41" w:rsidRDefault="00422CC7" w:rsidP="00BA017D">
            <w:pPr>
              <w:pStyle w:val="SOPBasis"/>
              <w:keepNext/>
            </w:pPr>
            <w:r w:rsidRPr="00170C41">
              <w:t>Emergency</w:t>
            </w:r>
            <w:r w:rsidR="00E63270">
              <w:t>/Compassionate</w:t>
            </w:r>
            <w:r w:rsidRPr="00170C41">
              <w:t xml:space="preserve"> Use</w:t>
            </w:r>
          </w:p>
        </w:tc>
        <w:tc>
          <w:tcPr>
            <w:tcW w:w="4788" w:type="dxa"/>
            <w:shd w:val="clear" w:color="auto" w:fill="auto"/>
          </w:tcPr>
          <w:p w14:paraId="6879874B" w14:textId="253846B3" w:rsidR="00422CC7" w:rsidRPr="00170C41" w:rsidRDefault="00422CC7" w:rsidP="00106160">
            <w:pPr>
              <w:pStyle w:val="SOPBasis"/>
              <w:keepNext/>
            </w:pPr>
            <w:r w:rsidRPr="00170C41">
              <w:t>Emergency</w:t>
            </w:r>
            <w:r w:rsidR="00E63270">
              <w:t>/Compassionate</w:t>
            </w:r>
            <w:r w:rsidRPr="00170C41">
              <w:t xml:space="preserve"> use</w:t>
            </w:r>
          </w:p>
        </w:tc>
      </w:tr>
    </w:tbl>
    <w:p w14:paraId="0F99421B" w14:textId="77777777" w:rsidR="00422CC7" w:rsidRDefault="00422CC7" w:rsidP="00422CC7">
      <w:pPr>
        <w:pStyle w:val="SOPLevel2"/>
        <w:numPr>
          <w:ilvl w:val="0"/>
          <w:numId w:val="0"/>
        </w:numPr>
      </w:pPr>
    </w:p>
    <w:sectPr w:rsidR="00422CC7" w:rsidSect="0093159B">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D58FE" w14:textId="77777777" w:rsidR="00BE0F70" w:rsidRDefault="00BE0F70" w:rsidP="0093159B">
      <w:pPr>
        <w:spacing w:after="0" w:line="240" w:lineRule="auto"/>
      </w:pPr>
      <w:r>
        <w:separator/>
      </w:r>
    </w:p>
  </w:endnote>
  <w:endnote w:type="continuationSeparator" w:id="0">
    <w:p w14:paraId="4A21F33A" w14:textId="77777777" w:rsidR="00BE0F70" w:rsidRDefault="00BE0F70"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5F0CD" w14:textId="77777777" w:rsidR="00BE0F70" w:rsidRDefault="00BE0F70" w:rsidP="0093159B">
      <w:pPr>
        <w:spacing w:after="0" w:line="240" w:lineRule="auto"/>
      </w:pPr>
      <w:r>
        <w:separator/>
      </w:r>
    </w:p>
  </w:footnote>
  <w:footnote w:type="continuationSeparator" w:id="0">
    <w:p w14:paraId="21FC2793" w14:textId="77777777" w:rsidR="00BE0F70" w:rsidRDefault="00BE0F70"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AE3DBE" w:rsidRPr="0071612A" w14:paraId="74D5262A" w14:textId="77777777" w:rsidTr="009D5E48">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74D52628" w14:textId="311A0880" w:rsidR="00AE3DBE" w:rsidRPr="0071612A" w:rsidRDefault="00454C4F" w:rsidP="00725F88">
          <w:pPr>
            <w:tabs>
              <w:tab w:val="right" w:pos="2178"/>
            </w:tabs>
            <w:jc w:val="center"/>
            <w:rPr>
              <w:rFonts w:ascii="Arial" w:hAnsi="Arial" w:cs="Arial"/>
              <w:b/>
              <w:bCs/>
              <w:color w:val="FFFFFF" w:themeColor="background1"/>
            </w:rPr>
          </w:pPr>
          <w:r>
            <w:rPr>
              <w:noProof/>
            </w:rPr>
            <w:drawing>
              <wp:inline distT="0" distB="0" distL="0" distR="0" wp14:anchorId="4EC4EB78" wp14:editId="4AB3186B">
                <wp:extent cx="1809750" cy="619125"/>
                <wp:effectExtent l="0" t="0" r="0" b="9525"/>
                <wp:docPr id="2" name="Graphic 2"/>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9750" cy="619125"/>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74D52629" w14:textId="77777777" w:rsidR="00AE3DBE" w:rsidRPr="0071612A" w:rsidRDefault="00AE3DBE"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5D4AD7">
            <w:rPr>
              <w:rFonts w:ascii="Arial" w:hAnsi="Arial" w:cs="Arial"/>
              <w:b/>
              <w:bCs/>
              <w:sz w:val="28"/>
              <w:szCs w:val="28"/>
            </w:rPr>
            <w:t>SOP: Post Review</w:t>
          </w:r>
          <w:r w:rsidRPr="0071612A">
            <w:rPr>
              <w:rFonts w:ascii="Arial" w:hAnsi="Arial" w:cs="Arial"/>
              <w:b/>
              <w:bCs/>
              <w:sz w:val="28"/>
              <w:szCs w:val="28"/>
            </w:rPr>
            <w:fldChar w:fldCharType="end"/>
          </w:r>
        </w:p>
      </w:tc>
    </w:tr>
    <w:tr w:rsidR="00AE3DBE" w:rsidRPr="0071612A" w14:paraId="74D52630" w14:textId="77777777" w:rsidTr="009D5E48">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74D5262B" w14:textId="77777777" w:rsidR="00AE3DBE" w:rsidRPr="0071612A" w:rsidRDefault="00AE3DBE"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5262C" w14:textId="77777777" w:rsidR="00AE3DBE" w:rsidRPr="0071612A" w:rsidRDefault="00AE3DBE" w:rsidP="001F7306">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5262D" w14:textId="77777777" w:rsidR="00AE3DBE" w:rsidRPr="0071612A" w:rsidRDefault="00AE3DBE" w:rsidP="001F7306">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5262E" w14:textId="77777777" w:rsidR="00AE3DBE" w:rsidRPr="0071612A" w:rsidRDefault="00AE3DBE" w:rsidP="001F7306">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5262F" w14:textId="77777777" w:rsidR="00AE3DBE" w:rsidRPr="0071612A" w:rsidRDefault="00AE3DBE" w:rsidP="001F7306">
          <w:pPr>
            <w:pStyle w:val="SOPTableHeader"/>
          </w:pPr>
          <w:r w:rsidRPr="0071612A">
            <w:t>Page:</w:t>
          </w:r>
        </w:p>
      </w:tc>
    </w:tr>
    <w:tr w:rsidR="00AE3DBE" w:rsidRPr="0071612A" w14:paraId="74D52636" w14:textId="77777777" w:rsidTr="00231AFD">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74D52631" w14:textId="77777777" w:rsidR="00AE3DBE" w:rsidRPr="0071612A" w:rsidRDefault="00AE3DBE"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74D52632" w14:textId="77777777" w:rsidR="00AE3DBE" w:rsidRPr="0071612A" w:rsidRDefault="002D4E92" w:rsidP="001F7306">
          <w:pPr>
            <w:pStyle w:val="SOPTableItemBold"/>
          </w:pPr>
          <w:fldSimple w:instr=" SUBJECT   \* MERGEFORMAT ">
            <w:r w:rsidR="005D4AD7">
              <w:t>HRP-111</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74D52633" w14:textId="77777777" w:rsidR="00AE3DBE" w:rsidRPr="0071612A" w:rsidRDefault="00AE3DBE" w:rsidP="001F7306">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4D52634" w14:textId="31C62E31" w:rsidR="00AE3DBE" w:rsidRPr="0071612A" w:rsidRDefault="00C0502E" w:rsidP="00454C4F">
          <w:pPr>
            <w:pStyle w:val="SOPTableItemBold"/>
          </w:pPr>
          <w:r>
            <w:t>06 APR 2021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4D52635" w14:textId="0929295D" w:rsidR="00AE3DBE" w:rsidRPr="0071612A" w:rsidRDefault="00AE3DBE" w:rsidP="001F7306">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9012B9">
            <w:t>3</w:t>
          </w:r>
          <w:r w:rsidRPr="0071612A">
            <w:fldChar w:fldCharType="end"/>
          </w:r>
          <w:r w:rsidRPr="0071612A">
            <w:t xml:space="preserve"> of </w:t>
          </w:r>
          <w:fldSimple w:instr=" NUMPAGES  \* Arabic  \* MERGEFORMAT ">
            <w:r w:rsidR="009012B9">
              <w:t>3</w:t>
            </w:r>
          </w:fldSimple>
        </w:p>
      </w:tc>
    </w:tr>
  </w:tbl>
  <w:p w14:paraId="384BD6BC" w14:textId="77777777" w:rsidR="00C21E4F" w:rsidRPr="0071612A" w:rsidRDefault="00C21E4F" w:rsidP="00C21E4F">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74D52638" w14:textId="77777777" w:rsidR="00AE3DBE" w:rsidRPr="0071612A" w:rsidRDefault="00AE3DBE" w:rsidP="00AE3DBE">
    <w:pPr>
      <w:tabs>
        <w:tab w:val="center" w:pos="4680"/>
        <w:tab w:val="right" w:pos="9360"/>
      </w:tabs>
      <w:spacing w:after="0" w:line="240" w:lineRule="auto"/>
      <w:rPr>
        <w:rFonts w:ascii="Calibri" w:eastAsia="Calibri" w:hAnsi="Calibri" w:cs="Times New Roman"/>
        <w:sz w:val="2"/>
        <w:szCs w:val="2"/>
      </w:rPr>
    </w:pPr>
  </w:p>
  <w:p w14:paraId="74D52639" w14:textId="77777777" w:rsidR="00AE3DBE" w:rsidRPr="0071612A" w:rsidRDefault="00AE3DBE" w:rsidP="00AE3DBE">
    <w:pPr>
      <w:tabs>
        <w:tab w:val="center" w:pos="4680"/>
        <w:tab w:val="right" w:pos="9360"/>
      </w:tabs>
      <w:spacing w:after="0" w:line="240" w:lineRule="auto"/>
      <w:rPr>
        <w:rFonts w:ascii="Calibri" w:eastAsia="Calibri" w:hAnsi="Calibri" w:cs="Times New Roman"/>
        <w:sz w:val="2"/>
      </w:rPr>
    </w:pPr>
  </w:p>
  <w:p w14:paraId="74D5263A" w14:textId="77777777" w:rsidR="00AE3DBE" w:rsidRPr="0071612A" w:rsidRDefault="00AE3DBE" w:rsidP="00AE3DBE">
    <w:pPr>
      <w:pStyle w:val="Header"/>
      <w:rPr>
        <w:sz w:val="2"/>
      </w:rPr>
    </w:pPr>
  </w:p>
  <w:p w14:paraId="74D5263B" w14:textId="77777777" w:rsidR="006D21A8" w:rsidRPr="00AE3DBE" w:rsidRDefault="006D21A8" w:rsidP="00AE3DBE">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4BAC"/>
    <w:multiLevelType w:val="multilevel"/>
    <w:tmpl w:val="7D489812"/>
    <w:lvl w:ilvl="0">
      <w:start w:val="4"/>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CCD3CB5"/>
    <w:multiLevelType w:val="hybridMultilevel"/>
    <w:tmpl w:val="38EA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B53E6"/>
    <w:multiLevelType w:val="multilevel"/>
    <w:tmpl w:val="0418583C"/>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2"/>
  </w:num>
  <w:num w:numId="3">
    <w:abstractNumId w:val="2"/>
  </w:num>
  <w:num w:numId="4">
    <w:abstractNumId w:val="4"/>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F268E2-8F97-47D7-8140-FB7FECA52D72}"/>
    <w:docVar w:name="dgnword-eventsink" w:val="271722016"/>
  </w:docVars>
  <w:rsids>
    <w:rsidRoot w:val="00E95BBF"/>
    <w:rsid w:val="00012FB6"/>
    <w:rsid w:val="00016E75"/>
    <w:rsid w:val="00027639"/>
    <w:rsid w:val="000404B6"/>
    <w:rsid w:val="000462AC"/>
    <w:rsid w:val="00046BF4"/>
    <w:rsid w:val="00050EFF"/>
    <w:rsid w:val="00051806"/>
    <w:rsid w:val="0005317A"/>
    <w:rsid w:val="0006354A"/>
    <w:rsid w:val="00064708"/>
    <w:rsid w:val="00070CE3"/>
    <w:rsid w:val="00075689"/>
    <w:rsid w:val="00085C89"/>
    <w:rsid w:val="00087932"/>
    <w:rsid w:val="000A1778"/>
    <w:rsid w:val="000A4B9E"/>
    <w:rsid w:val="000B03D7"/>
    <w:rsid w:val="000B0D54"/>
    <w:rsid w:val="000B4A47"/>
    <w:rsid w:val="000C6D61"/>
    <w:rsid w:val="000D5B18"/>
    <w:rsid w:val="000E1AC8"/>
    <w:rsid w:val="000E3502"/>
    <w:rsid w:val="001039BA"/>
    <w:rsid w:val="00106160"/>
    <w:rsid w:val="0011201E"/>
    <w:rsid w:val="00130AC3"/>
    <w:rsid w:val="0013294A"/>
    <w:rsid w:val="00154BCC"/>
    <w:rsid w:val="00173CFA"/>
    <w:rsid w:val="00185B30"/>
    <w:rsid w:val="001878EB"/>
    <w:rsid w:val="001A5996"/>
    <w:rsid w:val="001A5A2A"/>
    <w:rsid w:val="001B1AAC"/>
    <w:rsid w:val="001B2264"/>
    <w:rsid w:val="001C3FF9"/>
    <w:rsid w:val="001C443A"/>
    <w:rsid w:val="001C4D4C"/>
    <w:rsid w:val="001C7A95"/>
    <w:rsid w:val="001D2C16"/>
    <w:rsid w:val="001F1329"/>
    <w:rsid w:val="001F4C84"/>
    <w:rsid w:val="001F7306"/>
    <w:rsid w:val="0020344B"/>
    <w:rsid w:val="00217241"/>
    <w:rsid w:val="00223FDC"/>
    <w:rsid w:val="00231AFD"/>
    <w:rsid w:val="00244950"/>
    <w:rsid w:val="0024669D"/>
    <w:rsid w:val="002525E2"/>
    <w:rsid w:val="00256832"/>
    <w:rsid w:val="00256F23"/>
    <w:rsid w:val="0027369B"/>
    <w:rsid w:val="00282D03"/>
    <w:rsid w:val="0029321F"/>
    <w:rsid w:val="002B53F5"/>
    <w:rsid w:val="002C32AC"/>
    <w:rsid w:val="002D06A0"/>
    <w:rsid w:val="002D4539"/>
    <w:rsid w:val="002D4E92"/>
    <w:rsid w:val="002D79DE"/>
    <w:rsid w:val="002E318D"/>
    <w:rsid w:val="002F4B3F"/>
    <w:rsid w:val="003105FA"/>
    <w:rsid w:val="0031535E"/>
    <w:rsid w:val="00327FF7"/>
    <w:rsid w:val="00332ADF"/>
    <w:rsid w:val="0035050F"/>
    <w:rsid w:val="00354910"/>
    <w:rsid w:val="003704AD"/>
    <w:rsid w:val="00375A4E"/>
    <w:rsid w:val="003826FA"/>
    <w:rsid w:val="003A6D7B"/>
    <w:rsid w:val="003A7F1F"/>
    <w:rsid w:val="003B6359"/>
    <w:rsid w:val="003D226A"/>
    <w:rsid w:val="00400C33"/>
    <w:rsid w:val="00405B45"/>
    <w:rsid w:val="004208E1"/>
    <w:rsid w:val="00422CC7"/>
    <w:rsid w:val="0043076B"/>
    <w:rsid w:val="00431E3A"/>
    <w:rsid w:val="00454749"/>
    <w:rsid w:val="00454C4F"/>
    <w:rsid w:val="0048209B"/>
    <w:rsid w:val="0049615A"/>
    <w:rsid w:val="004A1AC8"/>
    <w:rsid w:val="004A373B"/>
    <w:rsid w:val="004B06CA"/>
    <w:rsid w:val="004B4B21"/>
    <w:rsid w:val="004B50C7"/>
    <w:rsid w:val="004B523F"/>
    <w:rsid w:val="004C046E"/>
    <w:rsid w:val="004C13EF"/>
    <w:rsid w:val="004C34F6"/>
    <w:rsid w:val="004C5E5C"/>
    <w:rsid w:val="004C7856"/>
    <w:rsid w:val="004E2FFF"/>
    <w:rsid w:val="004E7AD5"/>
    <w:rsid w:val="004F31BD"/>
    <w:rsid w:val="004F53D7"/>
    <w:rsid w:val="004F6659"/>
    <w:rsid w:val="004F7D0C"/>
    <w:rsid w:val="00515C9D"/>
    <w:rsid w:val="005259F7"/>
    <w:rsid w:val="00527F1F"/>
    <w:rsid w:val="005418FD"/>
    <w:rsid w:val="00551432"/>
    <w:rsid w:val="00563DAB"/>
    <w:rsid w:val="00593F8C"/>
    <w:rsid w:val="00597BC0"/>
    <w:rsid w:val="005B6E88"/>
    <w:rsid w:val="005C5F0F"/>
    <w:rsid w:val="005C6C77"/>
    <w:rsid w:val="005D4AD7"/>
    <w:rsid w:val="005D6164"/>
    <w:rsid w:val="005F663A"/>
    <w:rsid w:val="006013BC"/>
    <w:rsid w:val="006257B3"/>
    <w:rsid w:val="006279EC"/>
    <w:rsid w:val="00631C8B"/>
    <w:rsid w:val="0063272C"/>
    <w:rsid w:val="006421EA"/>
    <w:rsid w:val="00645738"/>
    <w:rsid w:val="0065231B"/>
    <w:rsid w:val="00652560"/>
    <w:rsid w:val="00660006"/>
    <w:rsid w:val="00661C12"/>
    <w:rsid w:val="006629C8"/>
    <w:rsid w:val="006656DC"/>
    <w:rsid w:val="00667E43"/>
    <w:rsid w:val="006938ED"/>
    <w:rsid w:val="006A0FE2"/>
    <w:rsid w:val="006A116B"/>
    <w:rsid w:val="006B16A0"/>
    <w:rsid w:val="006B2AB3"/>
    <w:rsid w:val="006B4F31"/>
    <w:rsid w:val="006B5C66"/>
    <w:rsid w:val="006B611E"/>
    <w:rsid w:val="006B70F9"/>
    <w:rsid w:val="006C2661"/>
    <w:rsid w:val="006C34E5"/>
    <w:rsid w:val="006D1655"/>
    <w:rsid w:val="006D21A8"/>
    <w:rsid w:val="006D2E9A"/>
    <w:rsid w:val="006D2FD8"/>
    <w:rsid w:val="006D48D5"/>
    <w:rsid w:val="006F3D07"/>
    <w:rsid w:val="00705337"/>
    <w:rsid w:val="0071153D"/>
    <w:rsid w:val="00725BD6"/>
    <w:rsid w:val="00726394"/>
    <w:rsid w:val="00737F0B"/>
    <w:rsid w:val="00740CE2"/>
    <w:rsid w:val="007471DF"/>
    <w:rsid w:val="00757358"/>
    <w:rsid w:val="00774C40"/>
    <w:rsid w:val="0078179C"/>
    <w:rsid w:val="00794692"/>
    <w:rsid w:val="007C065C"/>
    <w:rsid w:val="007C3CFC"/>
    <w:rsid w:val="007D062D"/>
    <w:rsid w:val="007E07BA"/>
    <w:rsid w:val="007E7DB5"/>
    <w:rsid w:val="007F244B"/>
    <w:rsid w:val="008053FB"/>
    <w:rsid w:val="00810580"/>
    <w:rsid w:val="008216EE"/>
    <w:rsid w:val="00850A65"/>
    <w:rsid w:val="00867BF2"/>
    <w:rsid w:val="00873599"/>
    <w:rsid w:val="00881706"/>
    <w:rsid w:val="00882659"/>
    <w:rsid w:val="008933D7"/>
    <w:rsid w:val="00895544"/>
    <w:rsid w:val="008B6F01"/>
    <w:rsid w:val="008C5C39"/>
    <w:rsid w:val="008D01DC"/>
    <w:rsid w:val="008D250E"/>
    <w:rsid w:val="008E074D"/>
    <w:rsid w:val="008E2AFC"/>
    <w:rsid w:val="008E3583"/>
    <w:rsid w:val="008F0280"/>
    <w:rsid w:val="008F4190"/>
    <w:rsid w:val="008F72B2"/>
    <w:rsid w:val="009012B9"/>
    <w:rsid w:val="00907067"/>
    <w:rsid w:val="00916E2D"/>
    <w:rsid w:val="0093159B"/>
    <w:rsid w:val="00935262"/>
    <w:rsid w:val="00935A77"/>
    <w:rsid w:val="00935E9D"/>
    <w:rsid w:val="009441E5"/>
    <w:rsid w:val="00947304"/>
    <w:rsid w:val="00947856"/>
    <w:rsid w:val="00947E0C"/>
    <w:rsid w:val="00956356"/>
    <w:rsid w:val="00966202"/>
    <w:rsid w:val="00972002"/>
    <w:rsid w:val="00981C16"/>
    <w:rsid w:val="00983EF3"/>
    <w:rsid w:val="00986096"/>
    <w:rsid w:val="009A0A2E"/>
    <w:rsid w:val="009C17B2"/>
    <w:rsid w:val="009C246E"/>
    <w:rsid w:val="009C2950"/>
    <w:rsid w:val="009C7F79"/>
    <w:rsid w:val="009D3DE8"/>
    <w:rsid w:val="009D5E48"/>
    <w:rsid w:val="009F3D59"/>
    <w:rsid w:val="009F7CEF"/>
    <w:rsid w:val="00A02EDD"/>
    <w:rsid w:val="00A06A4C"/>
    <w:rsid w:val="00A06EB8"/>
    <w:rsid w:val="00A1249D"/>
    <w:rsid w:val="00A251F1"/>
    <w:rsid w:val="00A43988"/>
    <w:rsid w:val="00A4499E"/>
    <w:rsid w:val="00A4717B"/>
    <w:rsid w:val="00A47FEA"/>
    <w:rsid w:val="00A524C7"/>
    <w:rsid w:val="00A52829"/>
    <w:rsid w:val="00A538F0"/>
    <w:rsid w:val="00A54D70"/>
    <w:rsid w:val="00A63EA4"/>
    <w:rsid w:val="00A70F30"/>
    <w:rsid w:val="00A7790B"/>
    <w:rsid w:val="00A82350"/>
    <w:rsid w:val="00A8403A"/>
    <w:rsid w:val="00A92D2C"/>
    <w:rsid w:val="00A94C3D"/>
    <w:rsid w:val="00AB71EF"/>
    <w:rsid w:val="00AC18A0"/>
    <w:rsid w:val="00AC6DFD"/>
    <w:rsid w:val="00AD66B1"/>
    <w:rsid w:val="00AE0FA9"/>
    <w:rsid w:val="00AE3DBE"/>
    <w:rsid w:val="00AF24CF"/>
    <w:rsid w:val="00B025E9"/>
    <w:rsid w:val="00B035CA"/>
    <w:rsid w:val="00B037DA"/>
    <w:rsid w:val="00B06F26"/>
    <w:rsid w:val="00B12110"/>
    <w:rsid w:val="00B16201"/>
    <w:rsid w:val="00B22FEC"/>
    <w:rsid w:val="00B23176"/>
    <w:rsid w:val="00B3037C"/>
    <w:rsid w:val="00B326C5"/>
    <w:rsid w:val="00B402D0"/>
    <w:rsid w:val="00B42084"/>
    <w:rsid w:val="00B56E45"/>
    <w:rsid w:val="00B76B0E"/>
    <w:rsid w:val="00B82628"/>
    <w:rsid w:val="00B86533"/>
    <w:rsid w:val="00B87F45"/>
    <w:rsid w:val="00B96736"/>
    <w:rsid w:val="00B969A4"/>
    <w:rsid w:val="00BB1A5A"/>
    <w:rsid w:val="00BC75FF"/>
    <w:rsid w:val="00BC79E9"/>
    <w:rsid w:val="00BD0064"/>
    <w:rsid w:val="00BD375F"/>
    <w:rsid w:val="00BD62CE"/>
    <w:rsid w:val="00BE0F70"/>
    <w:rsid w:val="00BE3293"/>
    <w:rsid w:val="00BE5B99"/>
    <w:rsid w:val="00BF04C1"/>
    <w:rsid w:val="00BF550B"/>
    <w:rsid w:val="00BF7355"/>
    <w:rsid w:val="00BF764C"/>
    <w:rsid w:val="00BF7FC5"/>
    <w:rsid w:val="00C03A0C"/>
    <w:rsid w:val="00C0502E"/>
    <w:rsid w:val="00C14589"/>
    <w:rsid w:val="00C164FC"/>
    <w:rsid w:val="00C2198A"/>
    <w:rsid w:val="00C21E4F"/>
    <w:rsid w:val="00C33B73"/>
    <w:rsid w:val="00C36682"/>
    <w:rsid w:val="00C36FC5"/>
    <w:rsid w:val="00C37500"/>
    <w:rsid w:val="00C441DF"/>
    <w:rsid w:val="00C47EC5"/>
    <w:rsid w:val="00C533A3"/>
    <w:rsid w:val="00C6001D"/>
    <w:rsid w:val="00C76522"/>
    <w:rsid w:val="00C96599"/>
    <w:rsid w:val="00CB3405"/>
    <w:rsid w:val="00CB7837"/>
    <w:rsid w:val="00CC66E9"/>
    <w:rsid w:val="00CC799A"/>
    <w:rsid w:val="00CE702A"/>
    <w:rsid w:val="00D0239D"/>
    <w:rsid w:val="00D10EF7"/>
    <w:rsid w:val="00D11D2F"/>
    <w:rsid w:val="00D207B6"/>
    <w:rsid w:val="00D23B00"/>
    <w:rsid w:val="00D25A90"/>
    <w:rsid w:val="00D263F1"/>
    <w:rsid w:val="00D2688E"/>
    <w:rsid w:val="00D37174"/>
    <w:rsid w:val="00D43522"/>
    <w:rsid w:val="00D514F0"/>
    <w:rsid w:val="00D565CD"/>
    <w:rsid w:val="00D72978"/>
    <w:rsid w:val="00D76242"/>
    <w:rsid w:val="00D83094"/>
    <w:rsid w:val="00D84BC2"/>
    <w:rsid w:val="00D86D95"/>
    <w:rsid w:val="00D944D0"/>
    <w:rsid w:val="00DA1A72"/>
    <w:rsid w:val="00DA20BA"/>
    <w:rsid w:val="00DA2547"/>
    <w:rsid w:val="00DB3026"/>
    <w:rsid w:val="00DD2A9E"/>
    <w:rsid w:val="00DD4EE3"/>
    <w:rsid w:val="00DE268B"/>
    <w:rsid w:val="00DF0EDD"/>
    <w:rsid w:val="00DF27E8"/>
    <w:rsid w:val="00DF2C9C"/>
    <w:rsid w:val="00E00D6A"/>
    <w:rsid w:val="00E1471D"/>
    <w:rsid w:val="00E33B63"/>
    <w:rsid w:val="00E36AFA"/>
    <w:rsid w:val="00E3793E"/>
    <w:rsid w:val="00E57008"/>
    <w:rsid w:val="00E63270"/>
    <w:rsid w:val="00E71498"/>
    <w:rsid w:val="00E77D49"/>
    <w:rsid w:val="00E83E40"/>
    <w:rsid w:val="00E86C34"/>
    <w:rsid w:val="00E86C60"/>
    <w:rsid w:val="00E8719A"/>
    <w:rsid w:val="00E91EBA"/>
    <w:rsid w:val="00E949CF"/>
    <w:rsid w:val="00E95BBF"/>
    <w:rsid w:val="00E97E72"/>
    <w:rsid w:val="00EA2D97"/>
    <w:rsid w:val="00EB20AF"/>
    <w:rsid w:val="00EB2241"/>
    <w:rsid w:val="00ED0ABB"/>
    <w:rsid w:val="00EE0D4F"/>
    <w:rsid w:val="00EE1761"/>
    <w:rsid w:val="00EE3032"/>
    <w:rsid w:val="00EF64B1"/>
    <w:rsid w:val="00EF7AB5"/>
    <w:rsid w:val="00F01E3A"/>
    <w:rsid w:val="00F215F4"/>
    <w:rsid w:val="00F32132"/>
    <w:rsid w:val="00F4225F"/>
    <w:rsid w:val="00F5005E"/>
    <w:rsid w:val="00F65A07"/>
    <w:rsid w:val="00F930EE"/>
    <w:rsid w:val="00FA76FB"/>
    <w:rsid w:val="00FC67FF"/>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52599"/>
  <w15:docId w15:val="{FBB44A3E-C002-42DE-A3EF-1A3EA74A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725BD6"/>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725BD6"/>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725BD6"/>
    <w:pPr>
      <w:tabs>
        <w:tab w:val="right" w:pos="2178"/>
      </w:tabs>
    </w:pPr>
    <w:rPr>
      <w:b/>
      <w:bCs/>
      <w:color w:val="000000"/>
      <w:sz w:val="16"/>
      <w:szCs w:val="16"/>
    </w:rPr>
  </w:style>
  <w:style w:type="paragraph" w:customStyle="1" w:styleId="SOPTableItem">
    <w:name w:val="SOP Table Item"/>
    <w:basedOn w:val="SOPBasis"/>
    <w:qFormat/>
    <w:rsid w:val="00725BD6"/>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725BD6"/>
    <w:rPr>
      <w:bCs w:val="0"/>
      <w:sz w:val="20"/>
      <w:szCs w:val="20"/>
    </w:rPr>
  </w:style>
  <w:style w:type="paragraph" w:customStyle="1" w:styleId="SOPTitle">
    <w:name w:val="SOP Title"/>
    <w:basedOn w:val="SOPBasis"/>
    <w:next w:val="SOPBasis"/>
    <w:qFormat/>
    <w:rsid w:val="00725BD6"/>
    <w:rPr>
      <w:b/>
      <w:bCs/>
      <w:sz w:val="28"/>
      <w:szCs w:val="28"/>
    </w:rPr>
  </w:style>
  <w:style w:type="paragraph" w:styleId="ListParagraph">
    <w:name w:val="List Paragraph"/>
    <w:basedOn w:val="Normal"/>
    <w:uiPriority w:val="34"/>
    <w:qFormat/>
    <w:rsid w:val="00725BD6"/>
    <w:pPr>
      <w:ind w:left="720"/>
      <w:contextualSpacing/>
    </w:pPr>
  </w:style>
  <w:style w:type="paragraph" w:customStyle="1" w:styleId="SOPLevel1">
    <w:name w:val="SOP Level 1"/>
    <w:basedOn w:val="SOPBasis"/>
    <w:qFormat/>
    <w:rsid w:val="00725BD6"/>
    <w:pPr>
      <w:numPr>
        <w:numId w:val="3"/>
      </w:numPr>
      <w:spacing w:before="120" w:after="120"/>
    </w:pPr>
    <w:rPr>
      <w:b/>
      <w:sz w:val="28"/>
    </w:rPr>
  </w:style>
  <w:style w:type="paragraph" w:customStyle="1" w:styleId="SOPLevel2">
    <w:name w:val="SOP Level 2"/>
    <w:basedOn w:val="SOPBasis"/>
    <w:qFormat/>
    <w:rsid w:val="00725BD6"/>
    <w:pPr>
      <w:numPr>
        <w:ilvl w:val="1"/>
        <w:numId w:val="3"/>
      </w:numPr>
      <w:spacing w:before="120" w:after="120"/>
      <w:contextualSpacing/>
    </w:pPr>
  </w:style>
  <w:style w:type="paragraph" w:customStyle="1" w:styleId="SOPLevel3">
    <w:name w:val="SOP Level 3"/>
    <w:basedOn w:val="SOPBasis"/>
    <w:qFormat/>
    <w:rsid w:val="00725BD6"/>
    <w:pPr>
      <w:numPr>
        <w:ilvl w:val="2"/>
        <w:numId w:val="3"/>
      </w:numPr>
      <w:spacing w:before="120" w:after="120"/>
      <w:contextualSpacing/>
    </w:pPr>
  </w:style>
  <w:style w:type="paragraph" w:customStyle="1" w:styleId="SOPLevel4">
    <w:name w:val="SOP Level 4"/>
    <w:basedOn w:val="SOPBasis"/>
    <w:qFormat/>
    <w:rsid w:val="00810580"/>
    <w:pPr>
      <w:numPr>
        <w:ilvl w:val="3"/>
        <w:numId w:val="3"/>
      </w:numPr>
      <w:spacing w:before="120" w:after="120"/>
      <w:contextualSpacing/>
    </w:pPr>
  </w:style>
  <w:style w:type="paragraph" w:customStyle="1" w:styleId="SOPLevel5">
    <w:name w:val="SOP Level 5"/>
    <w:basedOn w:val="SOPBasis"/>
    <w:qFormat/>
    <w:rsid w:val="00725BD6"/>
    <w:pPr>
      <w:numPr>
        <w:ilvl w:val="4"/>
        <w:numId w:val="3"/>
      </w:numPr>
      <w:spacing w:before="120" w:after="120"/>
      <w:contextualSpacing/>
    </w:pPr>
  </w:style>
  <w:style w:type="paragraph" w:customStyle="1" w:styleId="SOPLevel6">
    <w:name w:val="SOP Level 6"/>
    <w:basedOn w:val="SOPBasis"/>
    <w:qFormat/>
    <w:rsid w:val="00725BD6"/>
    <w:pPr>
      <w:numPr>
        <w:ilvl w:val="5"/>
        <w:numId w:val="3"/>
      </w:numPr>
      <w:spacing w:before="120" w:after="120"/>
      <w:contextualSpacing/>
    </w:pPr>
  </w:style>
  <w:style w:type="paragraph" w:customStyle="1" w:styleId="SOPFooter">
    <w:name w:val="SOP Footer"/>
    <w:basedOn w:val="SOPBasis"/>
    <w:autoRedefine/>
    <w:qFormat/>
    <w:rsid w:val="00725BD6"/>
    <w:pPr>
      <w:spacing w:before="120"/>
      <w:jc w:val="center"/>
    </w:pPr>
    <w:rPr>
      <w:sz w:val="16"/>
      <w:szCs w:val="16"/>
    </w:rPr>
  </w:style>
  <w:style w:type="character" w:customStyle="1" w:styleId="SOPDefault">
    <w:name w:val="SOP Default"/>
    <w:basedOn w:val="DefaultParagraphFont"/>
    <w:uiPriority w:val="1"/>
    <w:qFormat/>
    <w:rsid w:val="00725BD6"/>
  </w:style>
  <w:style w:type="character" w:customStyle="1" w:styleId="SOPDefinition">
    <w:name w:val="SOP Definition"/>
    <w:basedOn w:val="SOPDefault"/>
    <w:uiPriority w:val="1"/>
    <w:qFormat/>
    <w:rsid w:val="00725BD6"/>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customStyle="1" w:styleId="Default">
    <w:name w:val="Default"/>
    <w:rsid w:val="00916E2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6B70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725BD6"/>
    <w:pPr>
      <w:spacing w:after="0" w:line="240" w:lineRule="auto"/>
      <w:jc w:val="center"/>
    </w:pPr>
    <w:rPr>
      <w:color w:val="FFFFFF" w:themeColor="background1"/>
    </w:rPr>
  </w:style>
  <w:style w:type="character" w:styleId="Hyperlink">
    <w:name w:val="Hyperlink"/>
    <w:basedOn w:val="DefaultParagraphFont"/>
    <w:uiPriority w:val="99"/>
    <w:semiHidden/>
    <w:unhideWhenUsed/>
    <w:rsid w:val="00C47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56216">
      <w:bodyDiv w:val="1"/>
      <w:marLeft w:val="0"/>
      <w:marRight w:val="0"/>
      <w:marTop w:val="0"/>
      <w:marBottom w:val="0"/>
      <w:divBdr>
        <w:top w:val="none" w:sz="0" w:space="0" w:color="auto"/>
        <w:left w:val="none" w:sz="0" w:space="0" w:color="auto"/>
        <w:bottom w:val="none" w:sz="0" w:space="0" w:color="auto"/>
        <w:right w:val="none" w:sz="0" w:space="0" w:color="auto"/>
      </w:divBdr>
    </w:div>
    <w:div w:id="681320191">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1982615004">
      <w:bodyDiv w:val="1"/>
      <w:marLeft w:val="0"/>
      <w:marRight w:val="0"/>
      <w:marTop w:val="0"/>
      <w:marBottom w:val="0"/>
      <w:divBdr>
        <w:top w:val="none" w:sz="0" w:space="0" w:color="auto"/>
        <w:left w:val="none" w:sz="0" w:space="0" w:color="auto"/>
        <w:bottom w:val="none" w:sz="0" w:space="0" w:color="auto"/>
        <w:right w:val="none" w:sz="0" w:space="0" w:color="auto"/>
      </w:divBdr>
    </w:div>
    <w:div w:id="20801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19E8-F07D-49D9-866C-88742E91BB56}">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9f506b33-51d1-4e1b-9d93-9b1c88fdb660"/>
  </ds:schemaRefs>
</ds:datastoreItem>
</file>

<file path=customXml/itemProps2.xml><?xml version="1.0" encoding="utf-8"?>
<ds:datastoreItem xmlns:ds="http://schemas.openxmlformats.org/officeDocument/2006/customXml" ds:itemID="{395DEC57-53D5-42E1-BFE7-912E2578989D}">
  <ds:schemaRefs>
    <ds:schemaRef ds:uri="http://schemas.microsoft.com/sharepoint/v3/contenttype/forms"/>
  </ds:schemaRefs>
</ds:datastoreItem>
</file>

<file path=customXml/itemProps3.xml><?xml version="1.0" encoding="utf-8"?>
<ds:datastoreItem xmlns:ds="http://schemas.openxmlformats.org/officeDocument/2006/customXml" ds:itemID="{E312B1D8-06EA-422B-BF97-EFC6FEDC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BE2033-86BE-43BD-B5EE-99AAA045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1063</Words>
  <Characters>6178</Characters>
  <Application>Microsoft Office Word</Application>
  <DocSecurity>0</DocSecurity>
  <Lines>166</Lines>
  <Paragraphs>91</Paragraphs>
  <ScaleCrop>false</ScaleCrop>
  <HeadingPairs>
    <vt:vector size="2" baseType="variant">
      <vt:variant>
        <vt:lpstr>Title</vt:lpstr>
      </vt:variant>
      <vt:variant>
        <vt:i4>1</vt:i4>
      </vt:variant>
    </vt:vector>
  </HeadingPairs>
  <TitlesOfParts>
    <vt:vector size="1" baseType="lpstr">
      <vt:lpstr>SOP: Post Review</vt:lpstr>
    </vt:vector>
  </TitlesOfParts>
  <Company>Copyright © 2013 WIRB-Copernicus Group. All rights reserved.</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Post Review</dc:title>
  <dc:subject>HRP-111</dc:subject>
  <dc:creator>Emerson, Carley</dc:creator>
  <dc:description>dd MMM yyyy</dc:description>
  <cp:lastModifiedBy>Emerson, Carley A.</cp:lastModifiedBy>
  <cp:revision>15</cp:revision>
  <dcterms:created xsi:type="dcterms:W3CDTF">2020-02-28T15:57:00Z</dcterms:created>
  <dcterms:modified xsi:type="dcterms:W3CDTF">2021-04-08T19:24:00Z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5200</vt:r8>
  </property>
</Properties>
</file>